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深圳市企业技术中心评价指标体系</w:t>
      </w:r>
      <w:bookmarkEnd w:id="0"/>
    </w:p>
    <w:tbl>
      <w:tblPr>
        <w:tblStyle w:val="7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85"/>
        <w:gridCol w:w="723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评价</w:t>
            </w:r>
            <w:r>
              <w:rPr>
                <w:rFonts w:ascii="仿宋" w:hAnsi="仿宋" w:eastAsia="仿宋" w:cs="Times New Roman"/>
                <w:b/>
                <w:szCs w:val="21"/>
              </w:rPr>
              <w:t>内容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考察</w:t>
            </w:r>
            <w:r>
              <w:rPr>
                <w:rFonts w:ascii="仿宋" w:hAnsi="仿宋" w:eastAsia="仿宋" w:cs="Times New Roman"/>
                <w:b/>
                <w:szCs w:val="21"/>
              </w:rPr>
              <w:t>要素与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评分标准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915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一、创新投入（35分）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创新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经费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（20分）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（T年）研究与试验发展经费支出（万元）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经费支出达1000万元可得60分，每增加500万元，相应得分可加5分，最高不超过100分；＜1000万元得0分。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992" w:type="dxa"/>
            <w:vMerge w:val="continue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研究经费支出占主营业务收入的比重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（1）</w:t>
            </w:r>
            <w:r>
              <w:rPr>
                <w:rFonts w:hint="eastAsia" w:ascii="仿宋" w:hAnsi="仿宋" w:eastAsia="仿宋"/>
                <w:b/>
                <w:szCs w:val="21"/>
              </w:rPr>
              <w:t>主营业务收入≥</w:t>
            </w:r>
            <w:r>
              <w:rPr>
                <w:rFonts w:ascii="仿宋" w:hAnsi="仿宋" w:eastAsia="仿宋"/>
                <w:b/>
                <w:szCs w:val="21"/>
              </w:rPr>
              <w:t>40</w:t>
            </w:r>
            <w:r>
              <w:rPr>
                <w:rFonts w:hint="eastAsia" w:ascii="仿宋" w:hAnsi="仿宋" w:eastAsia="仿宋"/>
                <w:b/>
                <w:szCs w:val="21"/>
              </w:rPr>
              <w:t>亿元的企业，</w:t>
            </w:r>
            <w:r>
              <w:rPr>
                <w:rFonts w:hint="eastAsia" w:ascii="仿宋" w:hAnsi="仿宋" w:eastAsia="仿宋"/>
                <w:szCs w:val="21"/>
              </w:rPr>
              <w:t>比重为</w:t>
            </w:r>
            <w:r>
              <w:rPr>
                <w:rFonts w:ascii="仿宋" w:hAnsi="仿宋" w:eastAsia="仿宋"/>
                <w:szCs w:val="21"/>
              </w:rPr>
              <w:t>0.5%</w:t>
            </w:r>
            <w:r>
              <w:rPr>
                <w:rFonts w:hint="eastAsia" w:ascii="仿宋" w:hAnsi="仿宋" w:eastAsia="仿宋"/>
                <w:szCs w:val="21"/>
              </w:rPr>
              <w:t>可得</w:t>
            </w:r>
            <w:r>
              <w:rPr>
                <w:rFonts w:ascii="仿宋" w:hAnsi="仿宋" w:eastAsia="仿宋"/>
                <w:szCs w:val="21"/>
              </w:rPr>
              <w:t>60</w:t>
            </w:r>
            <w:r>
              <w:rPr>
                <w:rFonts w:hint="eastAsia" w:ascii="仿宋" w:hAnsi="仿宋" w:eastAsia="仿宋"/>
                <w:szCs w:val="21"/>
              </w:rPr>
              <w:t>分，为及格分；比重每增加</w:t>
            </w:r>
            <w:r>
              <w:rPr>
                <w:rFonts w:ascii="仿宋" w:hAnsi="仿宋" w:eastAsia="仿宋"/>
                <w:szCs w:val="21"/>
              </w:rPr>
              <w:t>0.125%</w:t>
            </w:r>
            <w:r>
              <w:rPr>
                <w:rFonts w:hint="eastAsia" w:ascii="仿宋" w:hAnsi="仿宋" w:eastAsia="仿宋"/>
                <w:szCs w:val="21"/>
              </w:rPr>
              <w:t>，得分可相应增加</w:t>
            </w: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分，最高不超过</w:t>
            </w:r>
            <w:r>
              <w:rPr>
                <w:rFonts w:ascii="仿宋" w:hAnsi="仿宋" w:eastAsia="仿宋"/>
                <w:szCs w:val="21"/>
              </w:rPr>
              <w:t>100</w:t>
            </w:r>
            <w:r>
              <w:rPr>
                <w:rFonts w:hint="eastAsia" w:ascii="仿宋" w:hAnsi="仿宋" w:eastAsia="仿宋"/>
                <w:szCs w:val="21"/>
              </w:rPr>
              <w:t>分；比重每减少</w:t>
            </w:r>
            <w:r>
              <w:rPr>
                <w:rFonts w:ascii="仿宋" w:hAnsi="仿宋" w:eastAsia="仿宋"/>
                <w:szCs w:val="21"/>
              </w:rPr>
              <w:t>0.125%</w:t>
            </w:r>
            <w:r>
              <w:rPr>
                <w:rFonts w:hint="eastAsia" w:ascii="仿宋" w:hAnsi="仿宋" w:eastAsia="仿宋"/>
                <w:szCs w:val="21"/>
              </w:rPr>
              <w:t>，得分可相应减</w:t>
            </w: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分，最低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分。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（2）主营业务收入≥20亿元的企业，</w:t>
            </w:r>
            <w:r>
              <w:rPr>
                <w:rFonts w:hint="eastAsia" w:ascii="仿宋" w:hAnsi="仿宋" w:eastAsia="仿宋" w:cs="Times New Roman"/>
                <w:szCs w:val="21"/>
              </w:rPr>
              <w:t>比重为1%可得60分，为及格分；比重每增加0.25%，得分可相应增加10分，最高不超过100分；比重每减少0.25%，得分可相应减10分，最低0分。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（3）主营业务收入≥10～20亿元的企业，</w:t>
            </w:r>
            <w:r>
              <w:rPr>
                <w:rFonts w:hint="eastAsia" w:ascii="仿宋" w:hAnsi="仿宋" w:eastAsia="仿宋" w:cs="Times New Roman"/>
                <w:szCs w:val="21"/>
              </w:rPr>
              <w:t>比重为2%可得60分，比重每增加0.5%，得分可相应增加10分，最高不超过100分；比重每减少0.3%，得分可相应减10分，最低0分。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（4）主营业务收入≥5～10亿元的企业，</w:t>
            </w:r>
            <w:r>
              <w:rPr>
                <w:rFonts w:hint="eastAsia" w:ascii="仿宋" w:hAnsi="仿宋" w:eastAsia="仿宋" w:cs="Times New Roman"/>
                <w:szCs w:val="21"/>
              </w:rPr>
              <w:t>比重为3%可得60分，比重每增加0.75%，得分可相应增加10分，最高不超过100分；比重每减少0.5%，得分可相应减10分，最低0分。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（5）主营业务收入≥1.5～5亿元的企业，</w:t>
            </w:r>
            <w:r>
              <w:rPr>
                <w:rFonts w:hint="eastAsia" w:ascii="仿宋" w:hAnsi="仿宋" w:eastAsia="仿宋" w:cs="Times New Roman"/>
                <w:szCs w:val="21"/>
              </w:rPr>
              <w:t>比重为4%可得60分，比重每增加1%，得分可相应增加10分，最高不超过100分；比重每减少0.75%，得分可相应减10分，最低0分。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（6）主营业务收入≥1～1.5亿元的企业，</w:t>
            </w:r>
            <w:r>
              <w:rPr>
                <w:rFonts w:hint="eastAsia" w:ascii="仿宋" w:hAnsi="仿宋" w:eastAsia="仿宋" w:cs="Times New Roman"/>
                <w:szCs w:val="21"/>
              </w:rPr>
              <w:t>比重为6%可得60分，比重每增加1%，得分可相应增加10分，最高不超过100分；比重每减少1%，得分可相应减10分，最低0分。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2" w:type="dxa"/>
            <w:vMerge w:val="continue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（T-1年）研究与试验发展经费支出（万元）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经费支出达1000万元可得60分，每增加500万元，相应得分可加5分，最高不超过100分；＜1000万元得0分。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创新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（15分）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技术中心大专以上技术研发人数（人）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20人可得60分，每多8人可加10分，最高不超过100分；≥50人可直接100分,＜20人得0分。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92" w:type="dxa"/>
            <w:vMerge w:val="continue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技术中心高级专家人数、博士人数（人）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5人可得50分，每多1人可加10分，≥10人可直接100分；＜5人得0分。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915" w:type="dxa"/>
            <w:gridSpan w:val="4"/>
            <w:shd w:val="clear" w:color="auto" w:fill="BEBEBE" w:themeFill="background1" w:themeFillShade="BF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二、创新条件（</w:t>
            </w:r>
            <w:r>
              <w:rPr>
                <w:rFonts w:ascii="仿宋" w:hAnsi="仿宋" w:eastAsia="仿宋" w:cs="Times New Roman"/>
                <w:b/>
                <w:szCs w:val="21"/>
              </w:rPr>
              <w:t>2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积累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（13分）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企业拥有的全部有效发明专利数（个）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1个可得30分，每增加1个加10分，最高不超过100分。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或者（申请日之前2年内）实用新型专利（个）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5个可得10分，每增加7个，可加10分，最高不超过100分，≥65个可直接100分；＜5个得0分。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或者（申请日之前2年内）计算机软件著作权（个）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5个可得10分，每增加7个，可加10分，最高不超过100分，≥65个可直接100分；＜5个得0分。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或者建筑业企业国家级工法数（近4年内完成）（项）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1项可得30分，每增加1项，可加20分，最高不超过100分；没有得0分。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或者省级工法数（近2年内完成）（项）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5项可得60分，每增加</w:t>
            </w:r>
            <w:r>
              <w:rPr>
                <w:rFonts w:ascii="仿宋" w:hAnsi="仿宋" w:eastAsia="仿宋" w:cs="Times New Roman"/>
                <w:szCs w:val="21"/>
              </w:rPr>
              <w:t>1</w:t>
            </w:r>
            <w:r>
              <w:rPr>
                <w:rFonts w:hint="eastAsia" w:ascii="仿宋" w:hAnsi="仿宋" w:eastAsia="仿宋" w:cs="Times New Roman"/>
                <w:szCs w:val="21"/>
              </w:rPr>
              <w:t>项，可加5分，最高不超过100分，≥13个可直接100分；＜5项得0分。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创新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平台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（12分）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企业技术开发仪器设备原值（万元）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原值达600万元可得60分，每增加</w:t>
            </w:r>
            <w:r>
              <w:rPr>
                <w:rFonts w:ascii="仿宋" w:hAnsi="仿宋" w:eastAsia="仿宋" w:cs="Times New Roman"/>
                <w:szCs w:val="21"/>
              </w:rPr>
              <w:t>225</w:t>
            </w:r>
            <w:r>
              <w:rPr>
                <w:rFonts w:hint="eastAsia" w:ascii="仿宋" w:hAnsi="仿宋" w:eastAsia="仿宋" w:cs="Times New Roman"/>
                <w:szCs w:val="21"/>
              </w:rPr>
              <w:t>万元，可加10分，最高不超过100分，≥1500可直接100分；＜600万元得0分。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通过国家（国际组织）认证的实验室和检测机构数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1个可得60分，每增加1个，可加10分，最高不超过100分，≥5个可直接100分；没有得0分。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915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三、创新绩效（40分）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产出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（15分）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（申请日之前1年内）被受理的发明专利申请数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1个可得</w:t>
            </w:r>
            <w:r>
              <w:rPr>
                <w:rFonts w:ascii="仿宋" w:hAnsi="仿宋" w:eastAsia="仿宋" w:cs="Times New Roman"/>
                <w:szCs w:val="21"/>
              </w:rPr>
              <w:t>5</w:t>
            </w:r>
            <w:r>
              <w:rPr>
                <w:rFonts w:hint="eastAsia" w:ascii="仿宋" w:hAnsi="仿宋" w:eastAsia="仿宋" w:cs="Times New Roman"/>
                <w:szCs w:val="21"/>
              </w:rPr>
              <w:t>0分，每增加1个，可加10分，最高不超过100分，≥6可直接100分；没有得0分。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（申请日之前1年内）被受理的实用新型专利申请数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5个可得60分，每增加2个，可加10分，最高不超过100分，≥13可直接100分；＜5个得0分。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最近3年主持和参加制定的国际、国家和行业标准数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（1）</w:t>
            </w:r>
            <w:r>
              <w:rPr>
                <w:rFonts w:hint="eastAsia" w:ascii="仿宋" w:hAnsi="仿宋" w:eastAsia="仿宋" w:cs="Times New Roman"/>
                <w:szCs w:val="21"/>
              </w:rPr>
              <w:t>1个国家标准可得80分，加1个可加20分，</w:t>
            </w:r>
            <w:r>
              <w:rPr>
                <w:rFonts w:ascii="仿宋" w:hAnsi="仿宋" w:eastAsia="仿宋" w:cs="Times New Roman"/>
                <w:szCs w:val="21"/>
              </w:rPr>
              <w:t>最高不超过</w:t>
            </w:r>
            <w:r>
              <w:rPr>
                <w:rFonts w:hint="eastAsia" w:ascii="仿宋" w:hAnsi="仿宋" w:eastAsia="仿宋" w:cs="Times New Roman"/>
                <w:szCs w:val="21"/>
              </w:rPr>
              <w:t>100分。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（2）</w:t>
            </w:r>
            <w:r>
              <w:rPr>
                <w:rFonts w:hint="eastAsia" w:ascii="仿宋" w:hAnsi="仿宋" w:eastAsia="仿宋" w:cs="Times New Roman"/>
                <w:szCs w:val="21"/>
              </w:rPr>
              <w:t>1个行业标准可得60分，加1个可加10分，最高不超100分。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（3）</w:t>
            </w:r>
            <w:r>
              <w:rPr>
                <w:rFonts w:hint="eastAsia" w:ascii="仿宋" w:hAnsi="仿宋" w:eastAsia="仿宋" w:cs="Times New Roman"/>
                <w:szCs w:val="21"/>
              </w:rPr>
              <w:t>1个</w:t>
            </w:r>
            <w:r>
              <w:rPr>
                <w:rFonts w:ascii="仿宋" w:hAnsi="仿宋" w:eastAsia="仿宋" w:cs="Times New Roman"/>
                <w:szCs w:val="21"/>
              </w:rPr>
              <w:t>国际标准可直接</w:t>
            </w:r>
            <w:r>
              <w:rPr>
                <w:rFonts w:hint="eastAsia" w:ascii="仿宋" w:hAnsi="仿宋" w:eastAsia="仿宋" w:cs="Times New Roman"/>
                <w:szCs w:val="21"/>
              </w:rPr>
              <w:t>100分。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创新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效益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（25分）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（T年)主营业务收入（亿元）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达到1亿元可得60分，每增加0.5亿元，可加10分，最高不超过100分，≥3亿元可直接100分；＜1亿元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或者建筑业企业（T年）主营业务收入（亿元）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达到15亿元可得60分，每增加5亿元，可加10分，最高不超过100分，≥35亿元可直接100分；＜1</w:t>
            </w:r>
            <w:r>
              <w:rPr>
                <w:rFonts w:ascii="仿宋" w:hAnsi="仿宋" w:eastAsia="仿宋" w:cs="Times New Roman"/>
                <w:szCs w:val="21"/>
              </w:rPr>
              <w:t>5</w:t>
            </w:r>
            <w:r>
              <w:rPr>
                <w:rFonts w:hint="eastAsia" w:ascii="仿宋" w:hAnsi="仿宋" w:eastAsia="仿宋" w:cs="Times New Roman"/>
                <w:szCs w:val="21"/>
              </w:rPr>
              <w:t>亿元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（T-1年）主营业务收入（亿元）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达到1亿元可得60分，每增加0.5亿元，可加10分，最高不超过100分，≥3亿元可直接100分；＜1亿元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或者建筑业企业（T-1年）主营业务收入（亿元）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达到15亿元可得60分，每增加5亿元，可加10分，最高不超过100分，≥35亿元可直接100分；＜1</w:t>
            </w:r>
            <w:r>
              <w:rPr>
                <w:rFonts w:ascii="仿宋" w:hAnsi="仿宋" w:eastAsia="仿宋" w:cs="Times New Roman"/>
                <w:szCs w:val="21"/>
              </w:rPr>
              <w:t>5</w:t>
            </w:r>
            <w:r>
              <w:rPr>
                <w:rFonts w:hint="eastAsia" w:ascii="仿宋" w:hAnsi="仿宋" w:eastAsia="仿宋" w:cs="Times New Roman"/>
                <w:szCs w:val="21"/>
              </w:rPr>
              <w:t>亿元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（T年）纳税额（营业税、增值税、企业所得税）（万元）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达到500万元可得60分，每增加125万元，可加10分，最高不超过100分，≥1000万元可直接100分；＜</w:t>
            </w:r>
            <w:r>
              <w:rPr>
                <w:rFonts w:ascii="仿宋" w:hAnsi="仿宋" w:eastAsia="仿宋" w:cs="Times New Roman"/>
                <w:szCs w:val="21"/>
              </w:rPr>
              <w:t>500</w:t>
            </w:r>
            <w:r>
              <w:rPr>
                <w:rFonts w:hint="eastAsia" w:ascii="仿宋" w:hAnsi="仿宋" w:eastAsia="仿宋" w:cs="Times New Roman"/>
                <w:szCs w:val="21"/>
              </w:rPr>
              <w:t>万元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或者建筑业（T年）纳税额（万元）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达到3000万元可得60分，每增加3000万元，可加10分，最高不超过100分，≥15000万元可直接100分；＜</w:t>
            </w:r>
            <w:r>
              <w:rPr>
                <w:rFonts w:ascii="仿宋" w:hAnsi="仿宋" w:eastAsia="仿宋" w:cs="Times New Roman"/>
                <w:szCs w:val="21"/>
              </w:rPr>
              <w:t>3000</w:t>
            </w:r>
            <w:r>
              <w:rPr>
                <w:rFonts w:hint="eastAsia" w:ascii="仿宋" w:hAnsi="仿宋" w:eastAsia="仿宋" w:cs="Times New Roman"/>
                <w:szCs w:val="21"/>
              </w:rPr>
              <w:t>万元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（T-1年）纳税额（营业税、增值税、企业所得税）（万元）（万元）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达到500万元可得60分，每增加125万元，可加10分，最高不超过100分，≥1000万元可直接100分；＜</w:t>
            </w:r>
            <w:r>
              <w:rPr>
                <w:rFonts w:ascii="仿宋" w:hAnsi="仿宋" w:eastAsia="仿宋" w:cs="Times New Roman"/>
                <w:szCs w:val="21"/>
              </w:rPr>
              <w:t>500</w:t>
            </w:r>
            <w:r>
              <w:rPr>
                <w:rFonts w:hint="eastAsia" w:ascii="仿宋" w:hAnsi="仿宋" w:eastAsia="仿宋" w:cs="Times New Roman"/>
                <w:szCs w:val="21"/>
              </w:rPr>
              <w:t>万元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或者建筑业（T-1年）纳税额（万元）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达到3000万元可得60分，每增加3000万元，可加10分，最高不超过100分，≥15000万元可直接100分；＜</w:t>
            </w:r>
            <w:r>
              <w:rPr>
                <w:rFonts w:ascii="仿宋" w:hAnsi="仿宋" w:eastAsia="仿宋" w:cs="Times New Roman"/>
                <w:szCs w:val="21"/>
              </w:rPr>
              <w:t>3000</w:t>
            </w:r>
            <w:r>
              <w:rPr>
                <w:rFonts w:hint="eastAsia" w:ascii="仿宋" w:hAnsi="仿宋" w:eastAsia="仿宋" w:cs="Times New Roman"/>
                <w:szCs w:val="21"/>
              </w:rPr>
              <w:t>万元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自主注册商标数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有1个可得80分，每增加1个，可加20分，最高不超过100分；没有</w:t>
            </w:r>
            <w:r>
              <w:rPr>
                <w:rFonts w:ascii="仿宋" w:hAnsi="仿宋" w:eastAsia="仿宋" w:cs="Times New Roman"/>
                <w:szCs w:val="21"/>
              </w:rPr>
              <w:t>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拥有自主商标产品销售占主营业务收入的比重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比重达50%可得</w:t>
            </w:r>
            <w:r>
              <w:rPr>
                <w:rFonts w:ascii="仿宋" w:hAnsi="仿宋" w:eastAsia="仿宋" w:cs="Times New Roman"/>
                <w:szCs w:val="21"/>
              </w:rPr>
              <w:t>6</w:t>
            </w:r>
            <w:r>
              <w:rPr>
                <w:rFonts w:hint="eastAsia" w:ascii="仿宋" w:hAnsi="仿宋" w:eastAsia="仿宋" w:cs="Times New Roman"/>
                <w:szCs w:val="21"/>
              </w:rPr>
              <w:t>0分，每增加</w:t>
            </w:r>
            <w:r>
              <w:rPr>
                <w:rFonts w:ascii="仿宋" w:hAnsi="仿宋" w:eastAsia="仿宋" w:cs="Times New Roman"/>
                <w:szCs w:val="21"/>
              </w:rPr>
              <w:t>5</w:t>
            </w:r>
            <w:r>
              <w:rPr>
                <w:rFonts w:hint="eastAsia" w:ascii="仿宋" w:hAnsi="仿宋" w:eastAsia="仿宋" w:cs="Times New Roman"/>
                <w:szCs w:val="21"/>
              </w:rPr>
              <w:t>%，可加10分，最高不超过100分，≥70%可直接100分；＜50</w:t>
            </w:r>
            <w:r>
              <w:rPr>
                <w:rFonts w:ascii="仿宋" w:hAnsi="仿宋" w:eastAsia="仿宋" w:cs="Times New Roman"/>
                <w:szCs w:val="21"/>
              </w:rPr>
              <w:t>%得</w:t>
            </w:r>
            <w:r>
              <w:rPr>
                <w:rFonts w:hint="eastAsia" w:ascii="仿宋" w:hAnsi="仿宋" w:eastAsia="仿宋" w:cs="Times New Roman"/>
                <w:szCs w:val="21"/>
              </w:rPr>
              <w:t>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915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四、体系与机制（20分）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技术创新体系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（20分）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企业技术创新战略制定与实施效果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效果一般（0～60分），效果较强（60～80分），效果强（80～100分）。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企业技术创新体系建设与运行效果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效果一般（0～60分），效果较强（60～80分），效果强（80～100分）。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915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五、技术与人才（30分）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创新条件建设（</w:t>
            </w:r>
            <w:r>
              <w:rPr>
                <w:rFonts w:ascii="仿宋" w:hAnsi="仿宋" w:eastAsia="仿宋" w:cs="Times New Roman"/>
                <w:szCs w:val="21"/>
              </w:rPr>
              <w:t>3</w:t>
            </w:r>
            <w:r>
              <w:rPr>
                <w:rFonts w:hint="eastAsia" w:ascii="仿宋" w:hAnsi="仿宋" w:eastAsia="仿宋" w:cs="Times New Roman"/>
                <w:szCs w:val="21"/>
              </w:rPr>
              <w:t>0分）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企业技术创新环境硬件建设情况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先进程度一般（0～60分），先进程度较强（60～80分），先进程度强（80～100分）。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企业创新人才队伍建设情况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1457"/>
              </w:tabs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（1）</w:t>
            </w:r>
            <w:r>
              <w:rPr>
                <w:rFonts w:hint="eastAsia" w:ascii="仿宋" w:hAnsi="仿宋" w:eastAsia="仿宋" w:cs="Times New Roman"/>
                <w:szCs w:val="21"/>
              </w:rPr>
              <w:t>项目团队有一定工作经历，人员搭配、素质及能力条件一般（0～60分）。</w:t>
            </w:r>
          </w:p>
          <w:p>
            <w:pPr>
              <w:tabs>
                <w:tab w:val="left" w:pos="1457"/>
              </w:tabs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（2）</w:t>
            </w:r>
            <w:r>
              <w:rPr>
                <w:rFonts w:hint="eastAsia" w:ascii="仿宋" w:hAnsi="仿宋" w:eastAsia="仿宋" w:cs="Times New Roman"/>
                <w:szCs w:val="21"/>
              </w:rPr>
              <w:t>项目团队较强，人员搭配、素质及能力条件较好（60～80分）。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（3）</w:t>
            </w:r>
            <w:r>
              <w:rPr>
                <w:rFonts w:hint="eastAsia" w:ascii="仿宋" w:hAnsi="仿宋" w:eastAsia="仿宋" w:cs="Times New Roman"/>
                <w:szCs w:val="21"/>
              </w:rPr>
              <w:t>项目团队强，人员专业搭配合理、素质及能力条件好（80～100分）。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企业信息化建设与运行情况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运行一般（0～60分），运行较好（60～80分），运行好（80～100分）。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15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六、产出与效益（50分）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技术创新产出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（50分）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技术中心T年科研立项数（企业立项书）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立项2项可得50分，每多1项可加10分，最高不超过100分，≥7项可直接100分。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技术中心T年科研在省级或国家立项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854"/>
              </w:tabs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（1）</w:t>
            </w:r>
            <w:r>
              <w:rPr>
                <w:rFonts w:hint="eastAsia" w:ascii="仿宋" w:hAnsi="仿宋" w:eastAsia="仿宋" w:cs="Times New Roman"/>
                <w:szCs w:val="21"/>
              </w:rPr>
              <w:t>在省级立项1项可得60分，每加1项可加10分，最高不超过100分。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（2）</w:t>
            </w:r>
            <w:r>
              <w:rPr>
                <w:rFonts w:hint="eastAsia" w:ascii="仿宋" w:hAnsi="仿宋" w:eastAsia="仿宋" w:cs="Times New Roman"/>
                <w:szCs w:val="21"/>
              </w:rPr>
              <w:t>在国家立项1项可得80分，每加1项可加20分，最高不超过100分。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技术中心T年科研项目产业化及年效益</w:t>
            </w:r>
          </w:p>
        </w:tc>
        <w:tc>
          <w:tcPr>
            <w:tcW w:w="723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技术中心T年科研1个项目产业化且年效益达500万元以上可得60分，每增加1个项目产业化且每个年效益达500万元以上加10分，有4个项目（含）以上产业化且每个年效益达500万元以上可直接得100分。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 w:cs="Times New Roman"/>
                <w:szCs w:val="21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E"/>
    <w:rsid w:val="0002178F"/>
    <w:rsid w:val="000B71D2"/>
    <w:rsid w:val="000B7595"/>
    <w:rsid w:val="000C1636"/>
    <w:rsid w:val="0010372C"/>
    <w:rsid w:val="00156874"/>
    <w:rsid w:val="001970C6"/>
    <w:rsid w:val="001B7A22"/>
    <w:rsid w:val="001B7B51"/>
    <w:rsid w:val="001D028C"/>
    <w:rsid w:val="002039DD"/>
    <w:rsid w:val="00212AB2"/>
    <w:rsid w:val="00241975"/>
    <w:rsid w:val="0027118D"/>
    <w:rsid w:val="00296872"/>
    <w:rsid w:val="002B4798"/>
    <w:rsid w:val="002D0B20"/>
    <w:rsid w:val="002D177C"/>
    <w:rsid w:val="002D42C8"/>
    <w:rsid w:val="002D6536"/>
    <w:rsid w:val="002E77C1"/>
    <w:rsid w:val="0030101F"/>
    <w:rsid w:val="00340D6A"/>
    <w:rsid w:val="0038624F"/>
    <w:rsid w:val="0048741C"/>
    <w:rsid w:val="004F42C1"/>
    <w:rsid w:val="00572F63"/>
    <w:rsid w:val="00574CFF"/>
    <w:rsid w:val="00585E7E"/>
    <w:rsid w:val="00587BD8"/>
    <w:rsid w:val="005B63FD"/>
    <w:rsid w:val="00645021"/>
    <w:rsid w:val="006520BD"/>
    <w:rsid w:val="00655F2F"/>
    <w:rsid w:val="00664D5A"/>
    <w:rsid w:val="00666A5E"/>
    <w:rsid w:val="00685E87"/>
    <w:rsid w:val="00693221"/>
    <w:rsid w:val="006A3FE6"/>
    <w:rsid w:val="006C05DA"/>
    <w:rsid w:val="00700557"/>
    <w:rsid w:val="00742714"/>
    <w:rsid w:val="00785DC4"/>
    <w:rsid w:val="007A2D1C"/>
    <w:rsid w:val="007A6524"/>
    <w:rsid w:val="007B69C2"/>
    <w:rsid w:val="00815163"/>
    <w:rsid w:val="00831E1D"/>
    <w:rsid w:val="008C5DC3"/>
    <w:rsid w:val="00906360"/>
    <w:rsid w:val="00922171"/>
    <w:rsid w:val="00955DE6"/>
    <w:rsid w:val="009562B5"/>
    <w:rsid w:val="00963244"/>
    <w:rsid w:val="00996886"/>
    <w:rsid w:val="009A17A0"/>
    <w:rsid w:val="009A3AC1"/>
    <w:rsid w:val="009A6962"/>
    <w:rsid w:val="009B28FB"/>
    <w:rsid w:val="009D016E"/>
    <w:rsid w:val="009D1B05"/>
    <w:rsid w:val="009E35C5"/>
    <w:rsid w:val="00A27680"/>
    <w:rsid w:val="00A32824"/>
    <w:rsid w:val="00A77926"/>
    <w:rsid w:val="00A87806"/>
    <w:rsid w:val="00B40C1D"/>
    <w:rsid w:val="00B61582"/>
    <w:rsid w:val="00B629FF"/>
    <w:rsid w:val="00B6465B"/>
    <w:rsid w:val="00BB60E1"/>
    <w:rsid w:val="00BD2E76"/>
    <w:rsid w:val="00BD69E4"/>
    <w:rsid w:val="00BF3FBD"/>
    <w:rsid w:val="00BF7F5D"/>
    <w:rsid w:val="00C1338B"/>
    <w:rsid w:val="00C30725"/>
    <w:rsid w:val="00C33A70"/>
    <w:rsid w:val="00C86AFE"/>
    <w:rsid w:val="00CA5EC3"/>
    <w:rsid w:val="00CA7000"/>
    <w:rsid w:val="00CF1370"/>
    <w:rsid w:val="00D319C9"/>
    <w:rsid w:val="00D36D40"/>
    <w:rsid w:val="00D471F4"/>
    <w:rsid w:val="00D60956"/>
    <w:rsid w:val="00DA18F8"/>
    <w:rsid w:val="00E17072"/>
    <w:rsid w:val="00E404C6"/>
    <w:rsid w:val="00E41F34"/>
    <w:rsid w:val="00E7412C"/>
    <w:rsid w:val="00EB6C51"/>
    <w:rsid w:val="00EC044B"/>
    <w:rsid w:val="00EC241E"/>
    <w:rsid w:val="00F70939"/>
    <w:rsid w:val="00F77974"/>
    <w:rsid w:val="00F96AB3"/>
    <w:rsid w:val="00FB3CDF"/>
    <w:rsid w:val="74E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111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502</Words>
  <Characters>2867</Characters>
  <Lines>23</Lines>
  <Paragraphs>6</Paragraphs>
  <ScaleCrop>false</ScaleCrop>
  <LinksUpToDate>false</LinksUpToDate>
  <CharactersWithSpaces>3363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2017-04-01T03:10:00Z</dcterms:created>
  <dc:creator>ThinkPad</dc:creator>
  <cp:lastModifiedBy>屈维</cp:lastModifiedBy>
  <dcterms:modified xsi:type="dcterms:W3CDTF">2017-04-01T07:39:50Z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