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20" w:lineRule="exact"/>
        <w:jc w:val="center"/>
        <w:rPr>
          <w:rFonts w:asciiTheme="majorEastAsia" w:hAnsiTheme="majorEastAsia" w:eastAsiaTheme="majorEastAsia"/>
          <w:b/>
          <w:kern w:val="44"/>
          <w:sz w:val="42"/>
          <w:szCs w:val="42"/>
        </w:rPr>
      </w:pPr>
      <w:bookmarkStart w:id="0" w:name="_GoBack"/>
      <w:bookmarkEnd w:id="0"/>
      <w:r>
        <w:rPr>
          <w:rFonts w:hint="eastAsia" w:asciiTheme="majorEastAsia" w:hAnsiTheme="majorEastAsia" w:eastAsiaTheme="majorEastAsia"/>
          <w:b/>
          <w:kern w:val="44"/>
          <w:sz w:val="42"/>
          <w:szCs w:val="42"/>
        </w:rPr>
        <w:t>先进半导体显示产业总部项目遴选方案</w:t>
      </w:r>
    </w:p>
    <w:p>
      <w:pPr>
        <w:overflowPunct w:val="0"/>
        <w:spacing w:line="620" w:lineRule="exact"/>
        <w:jc w:val="center"/>
        <w:rPr>
          <w:rFonts w:asciiTheme="majorEastAsia" w:hAnsiTheme="majorEastAsia" w:eastAsiaTheme="majorEastAsia"/>
          <w:b/>
          <w:sz w:val="42"/>
          <w:szCs w:val="42"/>
        </w:rPr>
      </w:pPr>
    </w:p>
    <w:p>
      <w:pPr>
        <w:overflowPunct w:val="0"/>
        <w:spacing w:line="620" w:lineRule="exact"/>
        <w:ind w:firstLine="624" w:firstLineChars="200"/>
        <w:rPr>
          <w:rFonts w:ascii="仿宋_GB2312" w:hAnsi="仿宋_GB2312" w:cs="仿宋_GB2312"/>
          <w:szCs w:val="32"/>
        </w:rPr>
      </w:pPr>
      <w:r>
        <w:rPr>
          <w:rFonts w:hint="eastAsia" w:ascii="仿宋_GB2312" w:hAnsi="仿宋_GB2312" w:cs="仿宋_GB2312"/>
          <w:szCs w:val="32"/>
        </w:rPr>
        <w:t>为加快推动国际科技产业创新中心的核心区建设</w:t>
      </w:r>
      <w:r>
        <w:rPr>
          <w:rFonts w:hint="eastAsia" w:ascii="仿宋_GB2312" w:hAnsi="宋体" w:cs="仿宋_GB2312"/>
          <w:szCs w:val="32"/>
        </w:rPr>
        <w:t>，提升总部经济发展能级，</w:t>
      </w:r>
      <w:r>
        <w:rPr>
          <w:rFonts w:hint="eastAsia" w:ascii="仿宋_GB2312" w:hAnsi="仿宋_GB2312" w:cs="仿宋_GB2312"/>
          <w:szCs w:val="32"/>
        </w:rPr>
        <w:t>根据《深圳市鼓励总部企业发展实施办法》（深府规〔2017〕7号）和《深圳市总部项目遴选及用地供应管理办法》（深府规〔2018〕1号）有关规定，结合深圳市超级总部基地的产业发展规划，现就先进半导体显示产业总部项目制定如下总部项目遴选方案：</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一、项目名称</w:t>
      </w:r>
    </w:p>
    <w:p>
      <w:pPr>
        <w:overflowPunct w:val="0"/>
        <w:spacing w:line="620" w:lineRule="exact"/>
        <w:ind w:firstLine="624" w:firstLineChars="200"/>
        <w:rPr>
          <w:rFonts w:ascii="仿宋_GB2312" w:hAnsi="仿宋_GB2312" w:cs="仿宋_GB2312"/>
          <w:szCs w:val="32"/>
        </w:rPr>
      </w:pPr>
      <w:r>
        <w:rPr>
          <w:rFonts w:hint="eastAsia" w:ascii="仿宋_GB2312" w:hAnsi="仿宋_GB2312" w:cs="仿宋_GB2312"/>
          <w:szCs w:val="32"/>
        </w:rPr>
        <w:t>先进半导体显示产业总部</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二、意向用地单位</w:t>
      </w:r>
    </w:p>
    <w:p>
      <w:pPr>
        <w:overflowPunct w:val="0"/>
        <w:spacing w:line="620" w:lineRule="exact"/>
        <w:ind w:firstLine="624" w:firstLineChars="200"/>
        <w:rPr>
          <w:rFonts w:ascii="仿宋_GB2312" w:hAnsi="仿宋_GB2312" w:cs="仿宋_GB2312"/>
          <w:szCs w:val="32"/>
          <w:highlight w:val="yellow"/>
        </w:rPr>
      </w:pPr>
      <w:r>
        <w:rPr>
          <w:rFonts w:ascii="仿宋_GB2312" w:hAnsi="仿宋_GB2312" w:cs="仿宋_GB2312"/>
          <w:szCs w:val="32"/>
        </w:rPr>
        <w:t>T</w:t>
      </w:r>
      <w:r>
        <w:rPr>
          <w:rFonts w:hint="eastAsia" w:ascii="仿宋_GB2312" w:hAnsi="仿宋_GB2312" w:cs="仿宋_GB2312"/>
          <w:szCs w:val="32"/>
        </w:rPr>
        <w:tab/>
      </w:r>
      <w:r>
        <w:rPr>
          <w:rFonts w:hint="eastAsia" w:ascii="仿宋_GB2312" w:hAnsi="仿宋_GB2312" w:cs="仿宋_GB2312"/>
          <w:szCs w:val="32"/>
        </w:rPr>
        <w:t>C</w:t>
      </w:r>
      <w:r>
        <w:rPr>
          <w:rFonts w:ascii="仿宋_GB2312" w:hAnsi="仿宋_GB2312" w:cs="仿宋_GB2312"/>
          <w:szCs w:val="32"/>
        </w:rPr>
        <w:t>L</w:t>
      </w:r>
      <w:r>
        <w:rPr>
          <w:rFonts w:hint="eastAsia" w:ascii="仿宋_GB2312" w:hAnsi="仿宋_GB2312" w:cs="仿宋_GB2312"/>
          <w:szCs w:val="32"/>
        </w:rPr>
        <w:t>华星光电技术有限公司</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三、可行性研究</w:t>
      </w:r>
    </w:p>
    <w:p>
      <w:pPr>
        <w:overflowPunct w:val="0"/>
        <w:spacing w:line="620" w:lineRule="exact"/>
        <w:ind w:firstLine="624" w:firstLineChars="200"/>
        <w:rPr>
          <w:rFonts w:ascii="仿宋_GB2312" w:hAnsi="仿宋_GB2312" w:cs="仿宋_GB2312"/>
          <w:szCs w:val="32"/>
        </w:rPr>
      </w:pPr>
      <w:r>
        <w:rPr>
          <w:rFonts w:hint="eastAsia" w:ascii="楷体_GB2312" w:hAnsi="宋体" w:eastAsia="楷体_GB2312" w:cs="仿宋_GB2312"/>
          <w:szCs w:val="32"/>
        </w:rPr>
        <w:t>（一）必要性：</w:t>
      </w:r>
      <w:r>
        <w:rPr>
          <w:rFonts w:hint="eastAsia" w:ascii="仿宋_GB2312" w:hAnsi="仿宋_GB2312" w:cs="仿宋_GB2312"/>
          <w:szCs w:val="32"/>
        </w:rPr>
        <w:t>新型显示产业是电子信息产业的重要产业门类，是我国重点扶持的战略性新兴产业，国家“十三五</w:t>
      </w:r>
      <w:r>
        <w:rPr>
          <w:rFonts w:hint="eastAsia" w:ascii="Calibri" w:hAnsi="仿宋_GB2312" w:cs="仿宋_GB2312"/>
          <w:szCs w:val="32"/>
        </w:rPr>
        <w:t>”</w:t>
      </w:r>
      <w:r>
        <w:rPr>
          <w:rFonts w:hint="eastAsia" w:ascii="仿宋_GB2312" w:hAnsi="仿宋_GB2312" w:cs="仿宋_GB2312"/>
          <w:szCs w:val="32"/>
        </w:rPr>
        <w:t>规划纲要、科技创新规划、战略性新兴产业规划等文件提出要“培育新型显示成为新增长点</w:t>
      </w:r>
      <w:r>
        <w:rPr>
          <w:rFonts w:hint="eastAsia" w:ascii="Calibri" w:hAnsi="仿宋_GB2312" w:cs="仿宋_GB2312"/>
          <w:szCs w:val="32"/>
        </w:rPr>
        <w:t>”“</w:t>
      </w:r>
      <w:r>
        <w:rPr>
          <w:rFonts w:hint="eastAsia" w:ascii="仿宋_GB2312" w:hAnsi="仿宋_GB2312" w:cs="仿宋_GB2312"/>
          <w:szCs w:val="32"/>
        </w:rPr>
        <w:t>以新型显示为核心，抢占先进电子材料技术的制高点</w:t>
      </w:r>
      <w:r>
        <w:rPr>
          <w:rFonts w:hint="eastAsia" w:ascii="Calibri" w:hAnsi="仿宋_GB2312" w:cs="仿宋_GB2312"/>
          <w:szCs w:val="32"/>
        </w:rPr>
        <w:t>”“</w:t>
      </w:r>
      <w:r>
        <w:rPr>
          <w:rFonts w:hint="eastAsia" w:ascii="仿宋_GB2312" w:hAnsi="仿宋_GB2312" w:cs="仿宋_GB2312"/>
          <w:szCs w:val="32"/>
        </w:rPr>
        <w:t>推动新型显示核心技术创新发展</w:t>
      </w:r>
      <w:r>
        <w:rPr>
          <w:rFonts w:hint="eastAsia" w:ascii="Calibri" w:hAnsi="仿宋_GB2312" w:cs="仿宋_GB2312"/>
          <w:szCs w:val="32"/>
        </w:rPr>
        <w:t>”</w:t>
      </w:r>
      <w:r>
        <w:rPr>
          <w:rFonts w:hint="eastAsia" w:ascii="仿宋_GB2312" w:hAnsi="仿宋_GB2312" w:cs="仿宋_GB2312"/>
          <w:szCs w:val="32"/>
        </w:rPr>
        <w:t>“推动半导体显示产业链协同创新”等相关要求。近年来，随着国内多条高世代面板生产线的建设投产，行业格局迎来重构，</w:t>
      </w:r>
      <w:r>
        <w:rPr>
          <w:rFonts w:ascii="仿宋_GB2312" w:hAnsi="仿宋_GB2312" w:cs="仿宋_GB2312"/>
          <w:szCs w:val="32"/>
        </w:rPr>
        <w:t>2019</w:t>
      </w:r>
      <w:r>
        <w:rPr>
          <w:rFonts w:hint="eastAsia" w:ascii="仿宋_GB2312" w:hAnsi="仿宋_GB2312" w:cs="仿宋_GB2312"/>
          <w:szCs w:val="32"/>
        </w:rPr>
        <w:t>年第三季度我国大陆电视面板市场占全球份额约48%，居全球第一。目前，深圳已经集聚了一大批优秀的新型显示企业，产业规模全国领先、产业生态较为完善。深圳作为全国性经济中心城市之一，围绕新型显示等战略性新兴产业，大力发展总部经济，加速集聚上下游产业资源，推动产业优化升级，既是巩固提升我市显示产业优势的现实需求，也是我市建设国际科技产业创新中心的重要依托。</w:t>
      </w:r>
    </w:p>
    <w:p>
      <w:pPr>
        <w:overflowPunct w:val="0"/>
        <w:spacing w:line="620" w:lineRule="exact"/>
        <w:ind w:firstLine="624" w:firstLineChars="200"/>
        <w:rPr>
          <w:rFonts w:ascii="仿宋_GB2312" w:hAnsi="Calibri"/>
          <w:szCs w:val="32"/>
        </w:rPr>
      </w:pPr>
      <w:r>
        <w:rPr>
          <w:rFonts w:ascii="仿宋_GB2312" w:hAnsi="仿宋_GB2312" w:cs="仿宋_GB2312"/>
          <w:szCs w:val="32"/>
        </w:rPr>
        <w:t>TCL</w:t>
      </w:r>
      <w:r>
        <w:rPr>
          <w:rFonts w:hint="eastAsia" w:ascii="仿宋_GB2312" w:hAnsi="仿宋_GB2312" w:cs="仿宋_GB2312"/>
          <w:szCs w:val="32"/>
        </w:rPr>
        <w:t>华星光电技术有限公司是全球面板显示行业骨干企业，目前两条8.5代面板产线满产满销，第1条11代面板项目T6项目已处于量产爬坡阶段，并正在加快建设第2条11代面板产线（T7项目），力争未来几年达到全球领先地位。</w:t>
      </w:r>
      <w:r>
        <w:rPr>
          <w:rFonts w:ascii="仿宋_GB2312" w:hAnsi="仿宋_GB2312" w:cs="仿宋_GB2312"/>
          <w:szCs w:val="32"/>
        </w:rPr>
        <w:t>TCL</w:t>
      </w:r>
      <w:r>
        <w:rPr>
          <w:rFonts w:hint="eastAsia" w:ascii="仿宋_GB2312" w:hAnsi="Calibri"/>
          <w:szCs w:val="32"/>
        </w:rPr>
        <w:t>华星光电结合企业发展现状，对标同行业代表性企业，对企业未来发展规划和人员规模进行了测算，到2024年，公司营收将超过290亿元，员工总人数达30000人，其中总部人员达10763人，现有产业用地办公配套建筑面积已难以支撑企业未来发展需求，有必要在我市总部经济集聚区域建设总部项</w:t>
      </w:r>
      <w:r>
        <w:rPr>
          <w:rFonts w:hint="eastAsia" w:ascii="仿宋_GB2312" w:hAnsi="仿宋_GB2312" w:cs="仿宋_GB2312"/>
          <w:szCs w:val="32"/>
        </w:rPr>
        <w:t>目，强化企业战略统筹功能、吸引高层次人才资源、加大海内外市场拓展，推动企业做大做强。</w:t>
      </w:r>
    </w:p>
    <w:p>
      <w:pPr>
        <w:overflowPunct w:val="0"/>
        <w:spacing w:line="620" w:lineRule="exact"/>
        <w:ind w:firstLine="624" w:firstLineChars="200"/>
        <w:rPr>
          <w:rFonts w:ascii="仿宋_GB2312" w:hAnsi="仿宋_GB2312" w:cs="仿宋_GB2312"/>
          <w:color w:val="FF0000"/>
          <w:szCs w:val="32"/>
        </w:rPr>
      </w:pPr>
      <w:r>
        <w:rPr>
          <w:rFonts w:hint="eastAsia" w:ascii="楷体_GB2312" w:hAnsi="仿宋_GB2312" w:eastAsia="楷体_GB2312" w:cs="仿宋_GB2312"/>
          <w:szCs w:val="32"/>
        </w:rPr>
        <w:t>（二）可行性：</w:t>
      </w:r>
      <w:r>
        <w:rPr>
          <w:rFonts w:hint="eastAsia" w:ascii="仿宋_GB2312" w:hAnsi="仿宋_GB2312" w:cs="仿宋_GB2312"/>
          <w:szCs w:val="32"/>
        </w:rPr>
        <w:t>TFT-LCD面板产值占整体平板显示规模约80%，随着其应用领域向电子壁画、电子白板、商用显示、医疗等领域的不断拓展，未来一段时期TFT-LCD面板仍将占据主导地位，产业规模有望保持增长。同时AMOLED技术作为最具发展潜力的新一代显示技术，当前正积极向电视等大尺寸应用领域渗透突破，未来将保持稳步增长态势。调研机构IHS预测，未来4年，全球平板显示产业将以每年3%的复合增长率保持增长，到2024年整体产值将接近1700亿美元，行业整体处于健康平稳发展态势。</w:t>
      </w:r>
    </w:p>
    <w:p>
      <w:pPr>
        <w:overflowPunct w:val="0"/>
        <w:spacing w:line="620" w:lineRule="exact"/>
        <w:ind w:firstLine="624" w:firstLineChars="200"/>
        <w:rPr>
          <w:rFonts w:ascii="楷体_GB2312" w:hAnsi="仿宋_GB2312" w:cs="仿宋_GB2312"/>
          <w:szCs w:val="32"/>
        </w:rPr>
      </w:pPr>
      <w:r>
        <w:rPr>
          <w:rFonts w:hint="eastAsia" w:ascii="仿宋_GB2312" w:hAnsi="仿宋_GB2312" w:cs="仿宋_GB2312"/>
          <w:szCs w:val="32"/>
        </w:rPr>
        <w:t>本项目定位于先进半导体显示产业总部，产业类型、建设内容和发展前景</w:t>
      </w:r>
      <w:r>
        <w:rPr>
          <w:rFonts w:hint="eastAsia" w:ascii="仿宋_GB2312" w:hAnsi="Cambria" w:cs="仿宋_GB2312"/>
          <w:szCs w:val="32"/>
        </w:rPr>
        <w:t>与深圳湾超级总部基地的定位和规划高度契合，将创造近万个高端就业岗位，吸引生产设备、显示材料、面板应用等50家新型显示上下游配套企业入驻办公，对深圳市总部经济和产业发展具有重要的支撑作用。</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（三）建设内容：</w:t>
      </w:r>
      <w:r>
        <w:rPr>
          <w:rFonts w:hint="eastAsia" w:ascii="仿宋_GB2312" w:hAnsi="仿宋_GB2312" w:cs="仿宋_GB2312"/>
          <w:szCs w:val="32"/>
        </w:rPr>
        <w:t>项目将建设先进半导体显示产业运营中心、战略规划中心、投资发展中心、新厂规划与建设管理中心、海外事业部总部、国际营销企划中心、全球供应链采购企划中心、财务共享中心、未来显示技术中央研究院等。</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（四）初步建设规模：</w:t>
      </w:r>
      <w:r>
        <w:rPr>
          <w:rFonts w:hint="eastAsia" w:ascii="仿宋_GB2312" w:hAnsi="宋体" w:cs="仿宋_GB2312"/>
          <w:kern w:val="0"/>
          <w:szCs w:val="32"/>
        </w:rPr>
        <w:t>总建筑面积约4.9万平方米（以土地出让合同为准）。</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四、准入条件</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（一）行业类别：</w:t>
      </w:r>
      <w:r>
        <w:rPr>
          <w:rFonts w:hint="eastAsia" w:ascii="仿宋_GB2312" w:hAnsi="仿宋_GB2312" w:cs="仿宋_GB2312"/>
          <w:szCs w:val="32"/>
        </w:rPr>
        <w:t>A0616</w:t>
      </w:r>
      <w:r>
        <w:rPr>
          <w:rFonts w:ascii="仿宋_GB2312" w:hAnsi="仿宋_GB2312" w:cs="仿宋_GB2312"/>
          <w:szCs w:val="32"/>
        </w:rPr>
        <w:t>半导体显示产业-</w:t>
      </w:r>
      <w:r>
        <w:rPr>
          <w:rFonts w:hint="eastAsia" w:ascii="仿宋_GB2312" w:hAnsi="仿宋_GB2312" w:cs="仿宋_GB2312"/>
          <w:szCs w:val="32"/>
        </w:rPr>
        <w:t>高分辨率液晶显示器（TFT-LCD）面板（基板尺寸</w:t>
      </w:r>
      <w:r>
        <w:rPr>
          <w:rFonts w:ascii="仿宋_GB2312" w:hAnsi="仿宋_GB2312" w:cs="仿宋_GB2312"/>
          <w:szCs w:val="32"/>
        </w:rPr>
        <w:t>8.</w:t>
      </w:r>
      <w:r>
        <w:rPr>
          <w:rFonts w:hint="eastAsia" w:ascii="仿宋_GB2312" w:hAnsi="仿宋_GB2312" w:cs="仿宋_GB2312"/>
          <w:szCs w:val="32"/>
        </w:rPr>
        <w:t>5代及以上）。</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（二）企业资质：</w:t>
      </w:r>
      <w:r>
        <w:rPr>
          <w:rFonts w:hint="eastAsia" w:ascii="仿宋_GB2312" w:hAnsi="仿宋_GB2312" w:cs="仿宋_GB2312"/>
          <w:szCs w:val="32"/>
        </w:rPr>
        <w:t>经核定的深圳市总部企业，实缴注册资本不低于198亿元</w:t>
      </w:r>
      <w:r>
        <w:rPr>
          <w:rFonts w:ascii="仿宋_GB2312" w:hAnsi="仿宋_GB2312" w:cs="仿宋_GB2312"/>
          <w:szCs w:val="32"/>
        </w:rPr>
        <w:t>，拥有显示面板行业国家工程实验室、深圳市工程实验室、深圳市企业技术中心称号。</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五、项目用地情况</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（一）用地意向区位：</w:t>
      </w:r>
      <w:r>
        <w:rPr>
          <w:rFonts w:hint="eastAsia" w:ascii="仿宋_GB2312" w:hAnsi="仿宋_GB2312" w:cs="仿宋_GB2312"/>
          <w:szCs w:val="32"/>
        </w:rPr>
        <w:t>深圳湾超级总部基地。</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（二）用地规模：</w:t>
      </w:r>
      <w:r>
        <w:rPr>
          <w:rFonts w:hint="eastAsia" w:ascii="仿宋_GB2312" w:hAnsi="仿宋_GB2312" w:cs="仿宋_GB2312"/>
          <w:szCs w:val="32"/>
        </w:rPr>
        <w:t>约0.82万平方米（以土地出让合同为准）。</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（三）用地功能：</w:t>
      </w:r>
      <w:r>
        <w:rPr>
          <w:rFonts w:hint="eastAsia" w:ascii="仿宋_GB2312" w:hAnsi="仿宋_GB2312" w:cs="仿宋_GB2312"/>
          <w:szCs w:val="32"/>
        </w:rPr>
        <w:t>商业服务业用地（C）。</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（四）建筑规模：</w:t>
      </w:r>
      <w:r>
        <w:rPr>
          <w:rFonts w:hint="eastAsia" w:ascii="仿宋_GB2312" w:hAnsi="仿宋_GB2312" w:cs="仿宋_GB2312"/>
          <w:szCs w:val="32"/>
        </w:rPr>
        <w:t>总建筑面积约4.9万平方米，主要用于总部办公，配套小部分商业和其他配套设施。</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（五）土地出让方式：</w:t>
      </w:r>
      <w:r>
        <w:rPr>
          <w:rFonts w:hint="eastAsia" w:ascii="仿宋_GB2312" w:hAnsi="仿宋_GB2312" w:cs="仿宋_GB2312"/>
          <w:szCs w:val="32"/>
        </w:rPr>
        <w:t>挂牌出让，具体招拍挂条件以市土地交易中心公告为准。</w:t>
      </w:r>
    </w:p>
    <w:p>
      <w:pPr>
        <w:overflowPunct w:val="0"/>
        <w:spacing w:line="620" w:lineRule="exact"/>
        <w:ind w:firstLine="624" w:firstLineChars="200"/>
        <w:rPr>
          <w:rFonts w:ascii="仿宋_GB2312" w:hAnsi="仿宋_GB2312" w:cs="仿宋_GB2312"/>
          <w:szCs w:val="32"/>
        </w:rPr>
      </w:pPr>
      <w:r>
        <w:rPr>
          <w:rFonts w:hint="eastAsia" w:ascii="楷体_GB2312" w:hAnsi="仿宋_GB2312" w:eastAsia="楷体_GB2312" w:cs="仿宋_GB2312"/>
          <w:szCs w:val="32"/>
        </w:rPr>
        <w:t>（六）期限：</w:t>
      </w:r>
      <w:r>
        <w:rPr>
          <w:rFonts w:hint="eastAsia" w:ascii="仿宋_GB2312" w:hAnsi="仿宋_GB2312" w:cs="仿宋_GB2312"/>
          <w:szCs w:val="32"/>
        </w:rPr>
        <w:t>30年。</w:t>
      </w:r>
    </w:p>
    <w:p>
      <w:pPr>
        <w:overflowPunct w:val="0"/>
        <w:spacing w:line="620" w:lineRule="exact"/>
        <w:ind w:firstLine="624" w:firstLineChars="200"/>
        <w:rPr>
          <w:rFonts w:ascii="楷体_GB2312" w:hAnsi="仿宋_GB2312" w:eastAsia="楷体_GB2312" w:cs="仿宋_GB2312"/>
          <w:szCs w:val="32"/>
        </w:rPr>
      </w:pPr>
      <w:r>
        <w:rPr>
          <w:rFonts w:hint="eastAsia" w:ascii="楷体_GB2312" w:hAnsi="仿宋_GB2312" w:eastAsia="楷体_GB2312" w:cs="仿宋_GB2312"/>
          <w:szCs w:val="32"/>
        </w:rPr>
        <w:t>（七）权利限制：</w:t>
      </w:r>
    </w:p>
    <w:p>
      <w:pPr>
        <w:overflowPunct w:val="0"/>
        <w:spacing w:line="620" w:lineRule="exact"/>
        <w:ind w:firstLine="624" w:firstLineChars="200"/>
        <w:rPr>
          <w:rFonts w:ascii="仿宋_GB2312" w:hAnsi="仿宋_GB2312" w:cs="仿宋_GB2312"/>
          <w:szCs w:val="32"/>
        </w:rPr>
      </w:pPr>
      <w:r>
        <w:rPr>
          <w:rFonts w:hint="eastAsia" w:ascii="仿宋_GB2312" w:hAnsi="仿宋_GB2312" w:cs="仿宋_GB2312"/>
          <w:szCs w:val="32"/>
        </w:rPr>
        <w:t>1.项目中60%的建筑面积全出让年期内不得转让（自用部分建筑）。非自用部分建筑允许租售，其中办公用房比例为50%。非自用办公用房由区政府作为政策性优惠商业办公用房，用于引进与总部企业相关的上下游企业入驻。除办公用房外的非自用部分建筑，在5年承诺期届满，产业发展监管协议履约考核通过后方可转让。总部用地上配套建设的商务公寓全出让年期内不得转让。</w:t>
      </w:r>
    </w:p>
    <w:p>
      <w:pPr>
        <w:overflowPunct w:val="0"/>
        <w:spacing w:line="620" w:lineRule="exact"/>
        <w:ind w:firstLine="624" w:firstLineChars="200"/>
        <w:rPr>
          <w:rFonts w:ascii="仿宋_GB2312" w:hAnsi="仿宋_GB2312" w:cs="仿宋_GB2312"/>
          <w:szCs w:val="32"/>
        </w:rPr>
      </w:pPr>
      <w:r>
        <w:rPr>
          <w:rFonts w:hint="eastAsia" w:ascii="仿宋_GB2312" w:hAnsi="仿宋_GB2312" w:cs="仿宋_GB2312"/>
          <w:szCs w:val="32"/>
        </w:rPr>
        <w:t>2.建设用地使用权及建筑物允许抵押，但抵押金额不得超过合同剩余地价与建筑物残值之和。</w:t>
      </w:r>
    </w:p>
    <w:p>
      <w:pPr>
        <w:overflowPunct w:val="0"/>
        <w:spacing w:line="620" w:lineRule="exact"/>
        <w:ind w:firstLine="624" w:firstLineChars="200"/>
        <w:rPr>
          <w:rFonts w:ascii="仿宋_GB2312" w:hAnsi="仿宋_GB2312" w:cs="仿宋_GB2312"/>
          <w:szCs w:val="32"/>
        </w:rPr>
      </w:pPr>
      <w:r>
        <w:rPr>
          <w:rFonts w:hint="eastAsia" w:ascii="仿宋_GB2312" w:hAnsi="仿宋_GB2312" w:cs="仿宋_GB2312"/>
          <w:szCs w:val="32"/>
        </w:rPr>
        <w:t>3.项目建设用地竞得人因人民法院强制执行拍卖或者变卖建设用地使用权的，次受让人应当承接原建设用地使用权出让合同及产业发展监管协议规定的受让人责任及义务，原建设用地使用权出让合同约定的使用条件不变。人民法院强制执行又无符合条件的次受让人的，其建设用地使用权及地上建（构）物由政府优先回购。</w:t>
      </w:r>
    </w:p>
    <w:p>
      <w:pPr>
        <w:overflowPunct w:val="0"/>
        <w:spacing w:line="620" w:lineRule="exact"/>
        <w:ind w:firstLine="624" w:firstLineChars="200"/>
        <w:rPr>
          <w:rFonts w:ascii="仿宋_GB2312" w:hAnsi="宋体" w:cs="仿宋_GB2312"/>
          <w:szCs w:val="32"/>
        </w:rPr>
        <w:sectPr>
          <w:footerReference r:id="rId3" w:type="default"/>
          <w:footerReference r:id="rId4" w:type="even"/>
          <w:pgSz w:w="11906" w:h="16838"/>
          <w:pgMar w:top="2098" w:right="1474" w:bottom="1985" w:left="1588" w:header="851" w:footer="1361" w:gutter="0"/>
          <w:cols w:space="425" w:num="1"/>
          <w:docGrid w:type="linesAndChars" w:linePitch="573" w:charSpace="-1843"/>
        </w:sectPr>
      </w:pPr>
      <w:r>
        <w:rPr>
          <w:rFonts w:hint="eastAsia" w:ascii="仿宋_GB2312" w:hAnsi="宋体" w:cs="仿宋_GB2312"/>
          <w:szCs w:val="32"/>
        </w:rPr>
        <w:t>备注：用地规模、建筑规模、土地用途等最终以规划国土部门出具的规划设计要点为准。产业类型选自深圳市发展和改革委员会印发的《深圳市产业结构调整优化和产业导向目录（2016年修订）》。</w:t>
      </w:r>
    </w:p>
    <w:p>
      <w:pPr>
        <w:snapToGrid w:val="0"/>
        <w:spacing w:line="640" w:lineRule="exact"/>
        <w:jc w:val="center"/>
        <w:rPr>
          <w:rFonts w:hint="eastAsia" w:asciiTheme="minorEastAsia" w:hAnsiTheme="minorEastAsia" w:eastAsiaTheme="minorEastAsia"/>
          <w:b/>
          <w:bCs/>
          <w:sz w:val="42"/>
          <w:szCs w:val="42"/>
          <w:lang w:eastAsia="zh-CN"/>
        </w:rPr>
      </w:pPr>
      <w:r>
        <w:rPr>
          <w:rFonts w:hint="eastAsia" w:asciiTheme="majorEastAsia" w:hAnsiTheme="majorEastAsia" w:eastAsiaTheme="majorEastAsia"/>
          <w:b/>
          <w:kern w:val="44"/>
          <w:sz w:val="42"/>
          <w:szCs w:val="42"/>
          <w:lang w:eastAsia="zh-CN"/>
        </w:rPr>
        <w:t>先进半导体显示产业总部项目产业发展监管协议</w:t>
      </w:r>
    </w:p>
    <w:p>
      <w:pPr>
        <w:snapToGrid w:val="0"/>
        <w:spacing w:line="640" w:lineRule="exact"/>
        <w:jc w:val="center"/>
        <w:rPr>
          <w:rFonts w:hint="eastAsia" w:asciiTheme="minorEastAsia" w:hAnsiTheme="minorEastAsia" w:eastAsiaTheme="minorEastAsia"/>
          <w:b/>
          <w:bCs/>
          <w:sz w:val="42"/>
          <w:szCs w:val="42"/>
          <w:lang w:eastAsia="zh-CN"/>
        </w:rPr>
      </w:pPr>
    </w:p>
    <w:p>
      <w:pPr>
        <w:snapToGrid w:val="0"/>
        <w:spacing w:line="640" w:lineRule="exact"/>
        <w:jc w:val="right"/>
        <w:rPr>
          <w:rFonts w:ascii="仿宋_GB2312" w:hAnsi="仿宋_GB2312" w:cs="仿宋_GB2312"/>
          <w:szCs w:val="32"/>
        </w:rPr>
      </w:pPr>
      <w:r>
        <w:rPr>
          <w:rFonts w:hint="eastAsia" w:ascii="仿宋_GB2312" w:hAnsi="仿宋_GB2312" w:cs="仿宋_GB2312"/>
          <w:szCs w:val="32"/>
        </w:rPr>
        <w:t>深  产监协〔   〕第  号</w:t>
      </w:r>
    </w:p>
    <w:p>
      <w:pPr>
        <w:snapToGrid w:val="0"/>
        <w:spacing w:line="640" w:lineRule="exact"/>
        <w:jc w:val="center"/>
        <w:rPr>
          <w:rFonts w:ascii="黑体" w:hAnsi="黑体" w:eastAsia="黑体"/>
          <w:b/>
          <w:bCs/>
          <w:sz w:val="48"/>
          <w:szCs w:val="48"/>
        </w:rPr>
      </w:pPr>
    </w:p>
    <w:p>
      <w:pPr>
        <w:snapToGrid w:val="0"/>
        <w:spacing w:line="640" w:lineRule="exact"/>
        <w:jc w:val="center"/>
        <w:rPr>
          <w:rFonts w:ascii="黑体" w:hAnsi="黑体" w:eastAsia="黑体"/>
          <w:b/>
          <w:bCs/>
          <w:sz w:val="48"/>
          <w:szCs w:val="48"/>
        </w:rPr>
      </w:pPr>
    </w:p>
    <w:p>
      <w:pPr>
        <w:snapToGrid w:val="0"/>
        <w:spacing w:line="640" w:lineRule="exact"/>
        <w:jc w:val="center"/>
        <w:rPr>
          <w:rFonts w:ascii="黑体" w:hAnsi="黑体" w:eastAsia="黑体"/>
          <w:b/>
          <w:bCs/>
          <w:sz w:val="48"/>
          <w:szCs w:val="48"/>
        </w:rPr>
      </w:pPr>
    </w:p>
    <w:p>
      <w:pPr>
        <w:snapToGrid w:val="0"/>
        <w:spacing w:line="640" w:lineRule="exact"/>
        <w:jc w:val="center"/>
        <w:rPr>
          <w:rFonts w:asciiTheme="minorEastAsia" w:hAnsiTheme="minorEastAsia" w:eastAsiaTheme="minorEastAsia"/>
          <w:b/>
          <w:bCs/>
          <w:sz w:val="42"/>
          <w:szCs w:val="42"/>
        </w:rPr>
      </w:pPr>
      <w:r>
        <w:rPr>
          <w:rFonts w:hint="eastAsia" w:asciiTheme="minorEastAsia" w:hAnsiTheme="minorEastAsia" w:eastAsiaTheme="minorEastAsia"/>
          <w:b/>
          <w:bCs/>
          <w:sz w:val="42"/>
          <w:szCs w:val="42"/>
        </w:rPr>
        <w:t>总部项目产业发展监管协议</w:t>
      </w:r>
    </w:p>
    <w:p>
      <w:pPr>
        <w:snapToGrid w:val="0"/>
        <w:spacing w:line="640" w:lineRule="exact"/>
        <w:jc w:val="center"/>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eastAsia="zh-CN"/>
        </w:rPr>
        <w:t>公示稿</w:t>
      </w:r>
      <w:r>
        <w:rPr>
          <w:rFonts w:hint="eastAsia" w:ascii="仿宋_GB2312" w:hAnsi="仿宋_GB2312" w:cs="仿宋_GB2312"/>
          <w:szCs w:val="32"/>
        </w:rPr>
        <w:t xml:space="preserve">） </w:t>
      </w:r>
    </w:p>
    <w:p>
      <w:pPr>
        <w:snapToGrid w:val="0"/>
        <w:spacing w:line="640" w:lineRule="exact"/>
        <w:jc w:val="center"/>
        <w:rPr>
          <w:rFonts w:ascii="Calibri" w:hAnsi="Calibri" w:eastAsia="宋体"/>
          <w:b/>
          <w:bCs/>
          <w:sz w:val="21"/>
          <w:szCs w:val="22"/>
        </w:rPr>
      </w:pPr>
      <w:r>
        <w:rPr>
          <w:rFonts w:hint="eastAsia" w:ascii="Calibri" w:hAnsi="Calibri" w:eastAsia="宋体"/>
          <w:b/>
          <w:bCs/>
          <w:sz w:val="21"/>
          <w:szCs w:val="22"/>
        </w:rPr>
        <w:t xml:space="preserve">  </w:t>
      </w:r>
    </w:p>
    <w:p>
      <w:pPr>
        <w:snapToGrid w:val="0"/>
        <w:spacing w:line="640" w:lineRule="exact"/>
        <w:jc w:val="center"/>
        <w:rPr>
          <w:rFonts w:ascii="Calibri" w:hAnsi="Calibri" w:eastAsia="宋体"/>
          <w:b/>
          <w:bCs/>
          <w:sz w:val="21"/>
          <w:szCs w:val="22"/>
        </w:rPr>
      </w:pPr>
      <w:r>
        <w:rPr>
          <w:rFonts w:hint="eastAsia" w:ascii="Calibri" w:hAnsi="Calibri" w:eastAsia="宋体"/>
          <w:b/>
          <w:bCs/>
          <w:sz w:val="21"/>
          <w:szCs w:val="22"/>
        </w:rPr>
        <w:t xml:space="preserve"> </w:t>
      </w:r>
    </w:p>
    <w:p>
      <w:pPr>
        <w:spacing w:line="640" w:lineRule="exact"/>
        <w:ind w:firstLine="1248" w:firstLineChars="400"/>
        <w:jc w:val="left"/>
        <w:rPr>
          <w:rFonts w:ascii="宋体" w:hAnsi="Calibri" w:eastAsia="宋体"/>
          <w:szCs w:val="32"/>
          <w:u w:val="single"/>
        </w:rPr>
      </w:pPr>
      <w:r>
        <w:rPr>
          <w:rFonts w:hint="eastAsia" w:ascii="宋体" w:hAnsi="Calibri" w:eastAsia="宋体"/>
          <w:b/>
          <w:bCs/>
          <w:szCs w:val="32"/>
        </w:rPr>
        <w:t>宗地编号：</w:t>
      </w:r>
      <w:r>
        <w:rPr>
          <w:rFonts w:hint="eastAsia" w:ascii="宋体" w:hAnsi="Calibri" w:eastAsia="宋体"/>
          <w:b/>
          <w:bCs/>
          <w:szCs w:val="32"/>
          <w:u w:val="single"/>
        </w:rPr>
        <w:t xml:space="preserve">                           </w:t>
      </w:r>
    </w:p>
    <w:p>
      <w:pPr>
        <w:spacing w:line="640" w:lineRule="exact"/>
        <w:ind w:firstLine="1248" w:firstLineChars="400"/>
        <w:jc w:val="left"/>
        <w:rPr>
          <w:rFonts w:ascii="宋体" w:hAnsi="Calibri" w:eastAsia="宋体"/>
          <w:b/>
          <w:bCs/>
          <w:szCs w:val="32"/>
          <w:u w:val="single"/>
        </w:rPr>
      </w:pPr>
      <w:r>
        <w:rPr>
          <w:rFonts w:hint="eastAsia" w:ascii="宋体" w:hAnsi="Calibri" w:eastAsia="宋体"/>
          <w:b/>
          <w:bCs/>
          <w:szCs w:val="32"/>
        </w:rPr>
        <w:t>项目名称：</w:t>
      </w:r>
      <w:r>
        <w:rPr>
          <w:rFonts w:hint="eastAsia" w:ascii="宋体" w:hAnsi="Calibri" w:eastAsia="宋体"/>
          <w:b/>
          <w:bCs/>
          <w:szCs w:val="32"/>
          <w:u w:val="single"/>
        </w:rPr>
        <w:t xml:space="preserve"> 先进半导体显示产业总部    </w:t>
      </w:r>
    </w:p>
    <w:p>
      <w:pPr>
        <w:spacing w:line="640" w:lineRule="exact"/>
        <w:ind w:firstLine="1248" w:firstLineChars="400"/>
        <w:jc w:val="left"/>
        <w:rPr>
          <w:rFonts w:ascii="宋体" w:hAnsi="Calibri" w:eastAsia="宋体"/>
          <w:b/>
          <w:bCs/>
          <w:szCs w:val="32"/>
          <w:u w:val="single"/>
        </w:rPr>
      </w:pPr>
      <w:r>
        <w:rPr>
          <w:rFonts w:hint="eastAsia" w:ascii="宋体" w:hAnsi="Calibri" w:eastAsia="宋体"/>
          <w:b/>
          <w:bCs/>
          <w:szCs w:val="32"/>
        </w:rPr>
        <w:t>土地出让合同编号：</w:t>
      </w:r>
      <w:r>
        <w:rPr>
          <w:rFonts w:hint="eastAsia" w:ascii="宋体" w:hAnsi="Calibri" w:eastAsia="宋体"/>
          <w:b/>
          <w:bCs/>
          <w:szCs w:val="32"/>
          <w:u w:val="single"/>
        </w:rPr>
        <w:t xml:space="preserve">                   </w:t>
      </w:r>
    </w:p>
    <w:p>
      <w:pPr>
        <w:snapToGrid w:val="0"/>
        <w:spacing w:line="640" w:lineRule="exact"/>
        <w:jc w:val="center"/>
        <w:rPr>
          <w:rFonts w:ascii="仿宋_GB2312" w:hAnsi="Calibri"/>
          <w:b/>
          <w:bCs/>
          <w:szCs w:val="32"/>
        </w:rPr>
      </w:pPr>
      <w:r>
        <w:rPr>
          <w:rFonts w:hint="eastAsia" w:ascii="Calibri" w:hAnsi="Calibri" w:eastAsia="宋体"/>
          <w:b/>
          <w:bCs/>
          <w:szCs w:val="32"/>
        </w:rPr>
        <w:t xml:space="preserve"> </w:t>
      </w:r>
    </w:p>
    <w:p>
      <w:pPr>
        <w:snapToGrid w:val="0"/>
        <w:spacing w:line="640" w:lineRule="exact"/>
        <w:jc w:val="center"/>
        <w:rPr>
          <w:rFonts w:ascii="Calibri" w:hAnsi="Calibri" w:eastAsia="宋体"/>
          <w:b/>
          <w:bCs/>
          <w:szCs w:val="32"/>
        </w:rPr>
      </w:pPr>
      <w:r>
        <w:rPr>
          <w:rFonts w:hint="eastAsia" w:ascii="Calibri" w:hAnsi="Calibri" w:eastAsia="宋体"/>
          <w:b/>
          <w:bCs/>
          <w:szCs w:val="32"/>
        </w:rPr>
        <w:t xml:space="preserve"> </w:t>
      </w:r>
    </w:p>
    <w:p>
      <w:pPr>
        <w:snapToGrid w:val="0"/>
        <w:spacing w:line="640" w:lineRule="exact"/>
        <w:jc w:val="center"/>
        <w:rPr>
          <w:rFonts w:ascii="Calibri" w:hAnsi="Calibri" w:eastAsia="宋体"/>
          <w:b/>
          <w:bCs/>
          <w:szCs w:val="32"/>
        </w:rPr>
      </w:pPr>
      <w:r>
        <w:rPr>
          <w:rFonts w:hint="eastAsia" w:ascii="Calibri" w:hAnsi="Calibri" w:eastAsia="宋体"/>
          <w:b/>
          <w:bCs/>
          <w:szCs w:val="32"/>
        </w:rPr>
        <w:t xml:space="preserve"> </w:t>
      </w:r>
    </w:p>
    <w:p>
      <w:pPr>
        <w:snapToGrid w:val="0"/>
        <w:spacing w:line="640" w:lineRule="exact"/>
        <w:jc w:val="center"/>
        <w:rPr>
          <w:rFonts w:ascii="Calibri" w:hAnsi="Calibri" w:eastAsia="宋体"/>
          <w:b/>
          <w:bCs/>
          <w:szCs w:val="32"/>
        </w:rPr>
      </w:pPr>
      <w:r>
        <w:rPr>
          <w:rFonts w:hint="eastAsia" w:ascii="Calibri" w:hAnsi="Calibri" w:eastAsia="宋体"/>
          <w:b/>
          <w:bCs/>
          <w:szCs w:val="32"/>
        </w:rPr>
        <w:t xml:space="preserve"> </w:t>
      </w:r>
    </w:p>
    <w:p>
      <w:pPr>
        <w:snapToGrid w:val="0"/>
        <w:spacing w:line="640" w:lineRule="exact"/>
        <w:jc w:val="center"/>
        <w:rPr>
          <w:rFonts w:ascii="Calibri" w:hAnsi="Calibri" w:eastAsia="宋体"/>
          <w:b/>
          <w:bCs/>
          <w:szCs w:val="32"/>
        </w:rPr>
      </w:pPr>
    </w:p>
    <w:p>
      <w:pPr>
        <w:spacing w:line="640" w:lineRule="exact"/>
        <w:jc w:val="center"/>
        <w:rPr>
          <w:rFonts w:ascii="黑体" w:hAnsi="黑体" w:eastAsia="黑体"/>
          <w:szCs w:val="32"/>
        </w:rPr>
        <w:sectPr>
          <w:pgSz w:w="11906" w:h="16838"/>
          <w:pgMar w:top="2098" w:right="1474" w:bottom="1985" w:left="1588" w:header="851" w:footer="1361" w:gutter="0"/>
          <w:cols w:space="425" w:num="1"/>
          <w:docGrid w:type="linesAndChars" w:linePitch="573" w:charSpace="-1843"/>
        </w:sectPr>
      </w:pPr>
      <w:r>
        <w:rPr>
          <w:rFonts w:hint="eastAsia" w:ascii="黑体" w:hAnsi="黑体" w:eastAsia="黑体"/>
          <w:szCs w:val="32"/>
        </w:rPr>
        <w:t>深圳市</w:t>
      </w:r>
      <w:r>
        <w:rPr>
          <w:rFonts w:hint="eastAsia" w:ascii="宋体" w:hAnsi="Calibri" w:eastAsia="宋体"/>
          <w:szCs w:val="32"/>
          <w:u w:val="single"/>
        </w:rPr>
        <w:t xml:space="preserve">                  </w:t>
      </w:r>
      <w:r>
        <w:rPr>
          <w:rFonts w:hint="eastAsia" w:ascii="黑体" w:hAnsi="Calibri" w:eastAsia="黑体"/>
          <w:szCs w:val="32"/>
        </w:rPr>
        <w:t xml:space="preserve"> </w:t>
      </w:r>
      <w:r>
        <w:rPr>
          <w:rFonts w:hint="eastAsia" w:ascii="黑体" w:hAnsi="黑体" w:eastAsia="黑体"/>
          <w:szCs w:val="32"/>
        </w:rPr>
        <w:t>制</w:t>
      </w:r>
    </w:p>
    <w:p>
      <w:pPr>
        <w:overflowPunct w:val="0"/>
        <w:adjustRightInd w:val="0"/>
        <w:snapToGrid w:val="0"/>
        <w:spacing w:line="560" w:lineRule="exact"/>
        <w:ind w:firstLine="624" w:firstLineChars="200"/>
        <w:rPr>
          <w:rFonts w:ascii="仿宋_GB2312"/>
          <w:szCs w:val="32"/>
        </w:rPr>
      </w:pPr>
      <w:r>
        <w:rPr>
          <w:rFonts w:hint="eastAsia" w:ascii="仿宋_GB2312"/>
          <w:szCs w:val="32"/>
        </w:rPr>
        <w:t>甲  方：</w:t>
      </w:r>
    </w:p>
    <w:p>
      <w:pPr>
        <w:overflowPunct w:val="0"/>
        <w:adjustRightInd w:val="0"/>
        <w:snapToGrid w:val="0"/>
        <w:spacing w:line="560" w:lineRule="exact"/>
        <w:ind w:firstLine="624" w:firstLineChars="200"/>
        <w:rPr>
          <w:rFonts w:ascii="仿宋_GB2312"/>
          <w:szCs w:val="32"/>
        </w:rPr>
      </w:pPr>
      <w:r>
        <w:rPr>
          <w:rFonts w:hint="eastAsia" w:ascii="仿宋_GB2312"/>
          <w:szCs w:val="32"/>
        </w:rPr>
        <w:t>法定代表人：</w:t>
      </w:r>
    </w:p>
    <w:p>
      <w:pPr>
        <w:overflowPunct w:val="0"/>
        <w:autoSpaceDE w:val="0"/>
        <w:autoSpaceDN w:val="0"/>
        <w:adjustRightInd w:val="0"/>
        <w:snapToGrid w:val="0"/>
        <w:spacing w:line="560" w:lineRule="exact"/>
        <w:ind w:firstLine="624" w:firstLineChars="200"/>
        <w:rPr>
          <w:rFonts w:ascii="仿宋_GB2312"/>
          <w:szCs w:val="32"/>
        </w:rPr>
      </w:pPr>
      <w:r>
        <w:rPr>
          <w:rFonts w:hint="eastAsia" w:ascii="仿宋_GB2312"/>
          <w:szCs w:val="32"/>
        </w:rPr>
        <w:t>地    址：</w:t>
      </w:r>
    </w:p>
    <w:p>
      <w:pPr>
        <w:overflowPunct w:val="0"/>
        <w:adjustRightInd w:val="0"/>
        <w:snapToGrid w:val="0"/>
        <w:spacing w:line="560" w:lineRule="exact"/>
        <w:ind w:firstLine="624" w:firstLineChars="200"/>
        <w:rPr>
          <w:rFonts w:ascii="仿宋_GB2312"/>
          <w:szCs w:val="32"/>
        </w:rPr>
      </w:pPr>
      <w:r>
        <w:rPr>
          <w:rFonts w:hint="eastAsia" w:ascii="仿宋_GB2312"/>
          <w:szCs w:val="32"/>
        </w:rPr>
        <w:t>联系部门：</w:t>
      </w:r>
    </w:p>
    <w:p>
      <w:pPr>
        <w:overflowPunct w:val="0"/>
        <w:adjustRightInd w:val="0"/>
        <w:snapToGrid w:val="0"/>
        <w:spacing w:line="560" w:lineRule="exact"/>
        <w:ind w:firstLine="624" w:firstLineChars="200"/>
        <w:rPr>
          <w:rFonts w:ascii="仿宋_GB2312"/>
          <w:szCs w:val="32"/>
        </w:rPr>
      </w:pPr>
      <w:r>
        <w:rPr>
          <w:rFonts w:hint="eastAsia" w:ascii="仿宋_GB2312"/>
          <w:szCs w:val="32"/>
        </w:rPr>
        <w:t>联系部门负责人：</w:t>
      </w:r>
    </w:p>
    <w:p>
      <w:pPr>
        <w:overflowPunct w:val="0"/>
        <w:autoSpaceDE w:val="0"/>
        <w:autoSpaceDN w:val="0"/>
        <w:adjustRightInd w:val="0"/>
        <w:snapToGrid w:val="0"/>
        <w:spacing w:line="560" w:lineRule="exact"/>
        <w:ind w:firstLine="624" w:firstLineChars="200"/>
        <w:rPr>
          <w:rFonts w:ascii="仿宋_GB2312"/>
          <w:szCs w:val="32"/>
        </w:rPr>
      </w:pPr>
      <w:r>
        <w:rPr>
          <w:rFonts w:hint="eastAsia" w:ascii="仿宋_GB2312"/>
          <w:szCs w:val="32"/>
        </w:rPr>
        <w:t>联系部门地址：</w:t>
      </w:r>
    </w:p>
    <w:p>
      <w:pPr>
        <w:overflowPunct w:val="0"/>
        <w:spacing w:line="560" w:lineRule="exact"/>
        <w:ind w:firstLine="544" w:firstLineChars="200"/>
        <w:rPr>
          <w:rFonts w:ascii="仿宋_GB2312"/>
          <w:kern w:val="0"/>
          <w:sz w:val="28"/>
          <w:szCs w:val="32"/>
          <w:lang w:val="zh-CN"/>
        </w:rPr>
      </w:pPr>
    </w:p>
    <w:p>
      <w:pPr>
        <w:overflowPunct w:val="0"/>
        <w:adjustRightInd w:val="0"/>
        <w:snapToGrid w:val="0"/>
        <w:spacing w:line="560" w:lineRule="exact"/>
        <w:ind w:firstLine="624" w:firstLineChars="200"/>
        <w:rPr>
          <w:rFonts w:ascii="仿宋_GB2312"/>
          <w:szCs w:val="32"/>
        </w:rPr>
      </w:pPr>
      <w:r>
        <w:rPr>
          <w:rFonts w:hint="eastAsia" w:ascii="仿宋_GB2312"/>
          <w:szCs w:val="32"/>
        </w:rPr>
        <w:t>乙  方：</w:t>
      </w:r>
    </w:p>
    <w:p>
      <w:pPr>
        <w:overflowPunct w:val="0"/>
        <w:adjustRightInd w:val="0"/>
        <w:snapToGrid w:val="0"/>
        <w:spacing w:line="560" w:lineRule="exact"/>
        <w:ind w:firstLine="624" w:firstLineChars="200"/>
        <w:rPr>
          <w:rFonts w:ascii="仿宋_GB2312"/>
          <w:szCs w:val="32"/>
        </w:rPr>
      </w:pPr>
      <w:r>
        <w:rPr>
          <w:rFonts w:hint="eastAsia" w:ascii="仿宋_GB2312"/>
          <w:szCs w:val="32"/>
        </w:rPr>
        <w:t>统一社会信用代码：</w:t>
      </w:r>
    </w:p>
    <w:p>
      <w:pPr>
        <w:overflowPunct w:val="0"/>
        <w:adjustRightInd w:val="0"/>
        <w:snapToGrid w:val="0"/>
        <w:spacing w:line="560" w:lineRule="exact"/>
        <w:ind w:firstLine="624" w:firstLineChars="200"/>
        <w:rPr>
          <w:rFonts w:ascii="仿宋_GB2312"/>
          <w:szCs w:val="32"/>
        </w:rPr>
      </w:pPr>
      <w:r>
        <w:rPr>
          <w:rFonts w:hint="eastAsia" w:ascii="仿宋_GB2312" w:cs="宋体"/>
          <w:kern w:val="0"/>
          <w:szCs w:val="32"/>
        </w:rPr>
        <w:t>法定代表人</w:t>
      </w:r>
      <w:r>
        <w:rPr>
          <w:rFonts w:hint="eastAsia" w:ascii="仿宋_GB2312"/>
          <w:szCs w:val="32"/>
        </w:rPr>
        <w:t>：</w:t>
      </w:r>
    </w:p>
    <w:p>
      <w:pPr>
        <w:overflowPunct w:val="0"/>
        <w:adjustRightInd w:val="0"/>
        <w:snapToGrid w:val="0"/>
        <w:spacing w:line="560" w:lineRule="exact"/>
        <w:ind w:firstLine="624" w:firstLineChars="200"/>
        <w:rPr>
          <w:rFonts w:ascii="仿宋_GB2312"/>
          <w:szCs w:val="32"/>
        </w:rPr>
      </w:pPr>
      <w:r>
        <w:rPr>
          <w:rFonts w:hint="eastAsia" w:ascii="仿宋_GB2312"/>
          <w:szCs w:val="32"/>
        </w:rPr>
        <w:t>地    址：</w:t>
      </w:r>
    </w:p>
    <w:p>
      <w:pPr>
        <w:overflowPunct w:val="0"/>
        <w:adjustRightInd w:val="0"/>
        <w:snapToGrid w:val="0"/>
        <w:spacing w:line="560" w:lineRule="exact"/>
        <w:ind w:firstLine="624" w:firstLineChars="200"/>
        <w:rPr>
          <w:rFonts w:ascii="仿宋_GB2312"/>
          <w:b/>
          <w:szCs w:val="32"/>
        </w:rPr>
      </w:pPr>
      <w:r>
        <w:rPr>
          <w:rFonts w:hint="eastAsia" w:ascii="仿宋_GB2312"/>
          <w:szCs w:val="32"/>
        </w:rPr>
        <w:t>联系部门：</w:t>
      </w:r>
    </w:p>
    <w:p>
      <w:pPr>
        <w:overflowPunct w:val="0"/>
        <w:adjustRightInd w:val="0"/>
        <w:snapToGrid w:val="0"/>
        <w:spacing w:line="560" w:lineRule="exact"/>
        <w:ind w:firstLine="624" w:firstLineChars="200"/>
        <w:rPr>
          <w:rFonts w:ascii="仿宋_GB2312"/>
          <w:szCs w:val="32"/>
        </w:rPr>
      </w:pPr>
      <w:r>
        <w:rPr>
          <w:rFonts w:hint="eastAsia" w:ascii="仿宋_GB2312"/>
          <w:szCs w:val="32"/>
        </w:rPr>
        <w:t>联系部门负责人：</w:t>
      </w:r>
    </w:p>
    <w:p>
      <w:pPr>
        <w:overflowPunct w:val="0"/>
        <w:spacing w:line="560" w:lineRule="exact"/>
        <w:ind w:firstLine="624" w:firstLineChars="200"/>
        <w:rPr>
          <w:rFonts w:ascii="仿宋_GB2312"/>
          <w:szCs w:val="32"/>
        </w:rPr>
      </w:pPr>
      <w:r>
        <w:rPr>
          <w:rFonts w:hint="eastAsia" w:ascii="仿宋_GB2312"/>
          <w:szCs w:val="32"/>
        </w:rPr>
        <w:t>联系部门地址：</w:t>
      </w:r>
    </w:p>
    <w:p>
      <w:pPr>
        <w:overflowPunct w:val="0"/>
        <w:spacing w:line="560" w:lineRule="exact"/>
        <w:ind w:firstLine="624" w:firstLineChars="200"/>
        <w:rPr>
          <w:rFonts w:ascii="仿宋_GB2312"/>
          <w:szCs w:val="32"/>
        </w:rPr>
      </w:pPr>
    </w:p>
    <w:p>
      <w:pPr>
        <w:overflowPunct w:val="0"/>
        <w:adjustRightInd w:val="0"/>
        <w:snapToGrid w:val="0"/>
        <w:spacing w:line="560" w:lineRule="exact"/>
        <w:ind w:firstLine="624" w:firstLineChars="200"/>
        <w:rPr>
          <w:rFonts w:ascii="仿宋_GB2312"/>
          <w:szCs w:val="32"/>
        </w:rPr>
      </w:pPr>
      <w:r>
        <w:rPr>
          <w:rFonts w:hint="eastAsia" w:ascii="仿宋_GB2312"/>
          <w:szCs w:val="32"/>
        </w:rPr>
        <w:t>丙  方：</w:t>
      </w:r>
    </w:p>
    <w:p>
      <w:pPr>
        <w:overflowPunct w:val="0"/>
        <w:adjustRightInd w:val="0"/>
        <w:snapToGrid w:val="0"/>
        <w:spacing w:line="560" w:lineRule="exact"/>
        <w:ind w:firstLine="624" w:firstLineChars="200"/>
        <w:rPr>
          <w:rFonts w:ascii="仿宋_GB2312"/>
          <w:szCs w:val="32"/>
        </w:rPr>
      </w:pPr>
      <w:r>
        <w:rPr>
          <w:rFonts w:hint="eastAsia" w:ascii="仿宋_GB2312"/>
          <w:szCs w:val="32"/>
        </w:rPr>
        <w:t>统一社会信用代码：</w:t>
      </w:r>
    </w:p>
    <w:p>
      <w:pPr>
        <w:overflowPunct w:val="0"/>
        <w:adjustRightInd w:val="0"/>
        <w:snapToGrid w:val="0"/>
        <w:spacing w:line="560" w:lineRule="exact"/>
        <w:ind w:firstLine="624" w:firstLineChars="200"/>
        <w:rPr>
          <w:rFonts w:ascii="仿宋_GB2312"/>
          <w:szCs w:val="32"/>
        </w:rPr>
      </w:pPr>
      <w:r>
        <w:rPr>
          <w:rFonts w:hint="eastAsia" w:ascii="仿宋_GB2312" w:cs="宋体"/>
          <w:kern w:val="0"/>
          <w:szCs w:val="32"/>
        </w:rPr>
        <w:t>法定代表人</w:t>
      </w:r>
      <w:r>
        <w:rPr>
          <w:rFonts w:hint="eastAsia" w:ascii="仿宋_GB2312"/>
          <w:szCs w:val="32"/>
        </w:rPr>
        <w:t>：</w:t>
      </w:r>
    </w:p>
    <w:p>
      <w:pPr>
        <w:overflowPunct w:val="0"/>
        <w:adjustRightInd w:val="0"/>
        <w:snapToGrid w:val="0"/>
        <w:spacing w:line="560" w:lineRule="exact"/>
        <w:ind w:firstLine="624" w:firstLineChars="200"/>
        <w:rPr>
          <w:rFonts w:ascii="仿宋_GB2312"/>
          <w:szCs w:val="32"/>
        </w:rPr>
      </w:pPr>
      <w:r>
        <w:rPr>
          <w:rFonts w:hint="eastAsia" w:ascii="仿宋_GB2312"/>
          <w:szCs w:val="32"/>
        </w:rPr>
        <w:t>地    址：</w:t>
      </w:r>
    </w:p>
    <w:p>
      <w:pPr>
        <w:overflowPunct w:val="0"/>
        <w:adjustRightInd w:val="0"/>
        <w:snapToGrid w:val="0"/>
        <w:spacing w:line="560" w:lineRule="exact"/>
        <w:ind w:firstLine="624" w:firstLineChars="200"/>
        <w:rPr>
          <w:rFonts w:ascii="仿宋_GB2312"/>
          <w:b/>
          <w:szCs w:val="32"/>
        </w:rPr>
      </w:pPr>
      <w:r>
        <w:rPr>
          <w:rFonts w:hint="eastAsia" w:ascii="仿宋_GB2312"/>
          <w:szCs w:val="32"/>
        </w:rPr>
        <w:t>联系部门：</w:t>
      </w:r>
    </w:p>
    <w:p>
      <w:pPr>
        <w:overflowPunct w:val="0"/>
        <w:adjustRightInd w:val="0"/>
        <w:snapToGrid w:val="0"/>
        <w:spacing w:line="560" w:lineRule="exact"/>
        <w:ind w:firstLine="624" w:firstLineChars="200"/>
        <w:rPr>
          <w:rFonts w:ascii="仿宋_GB2312"/>
          <w:szCs w:val="32"/>
        </w:rPr>
      </w:pPr>
      <w:r>
        <w:rPr>
          <w:rFonts w:hint="eastAsia" w:ascii="仿宋_GB2312"/>
          <w:szCs w:val="32"/>
        </w:rPr>
        <w:t>联系部门负责人：</w:t>
      </w:r>
    </w:p>
    <w:p>
      <w:pPr>
        <w:overflowPunct w:val="0"/>
        <w:spacing w:line="560" w:lineRule="exact"/>
        <w:ind w:firstLine="624" w:firstLineChars="200"/>
        <w:rPr>
          <w:rFonts w:ascii="仿宋_GB2312"/>
          <w:szCs w:val="32"/>
        </w:rPr>
        <w:sectPr>
          <w:pgSz w:w="11906" w:h="16838"/>
          <w:pgMar w:top="2098" w:right="1474" w:bottom="1985" w:left="1588" w:header="851" w:footer="1361" w:gutter="0"/>
          <w:cols w:space="425" w:num="1"/>
          <w:docGrid w:type="linesAndChars" w:linePitch="573" w:charSpace="-1843"/>
        </w:sectPr>
      </w:pPr>
      <w:r>
        <w:rPr>
          <w:rFonts w:hint="eastAsia" w:ascii="仿宋_GB2312"/>
          <w:szCs w:val="32"/>
        </w:rPr>
        <w:t>联系部门地址：</w:t>
      </w:r>
    </w:p>
    <w:p>
      <w:pPr>
        <w:overflowPunct w:val="0"/>
        <w:spacing w:line="620" w:lineRule="exact"/>
        <w:ind w:firstLine="624" w:firstLineChars="200"/>
        <w:rPr>
          <w:rFonts w:ascii="Calibri" w:hAnsi="Calibri" w:eastAsia="宋体"/>
          <w:b/>
          <w:bCs/>
          <w:szCs w:val="32"/>
        </w:rPr>
      </w:pPr>
      <w:r>
        <w:rPr>
          <w:rFonts w:hint="eastAsia" w:ascii="仿宋_GB2312"/>
          <w:szCs w:val="32"/>
        </w:rPr>
        <w:t>为保障深圳市总部项目发展用地，切实履行《深圳市土地使用权出让公告》（深土交告（</w:t>
      </w:r>
      <w:r>
        <w:rPr>
          <w:rFonts w:hint="eastAsia" w:ascii="仿宋_GB2312"/>
          <w:szCs w:val="32"/>
          <w:u w:val="single"/>
        </w:rPr>
        <w:t xml:space="preserve">    </w:t>
      </w:r>
      <w:r>
        <w:rPr>
          <w:rFonts w:hint="eastAsia" w:ascii="仿宋_GB2312"/>
          <w:szCs w:val="32"/>
        </w:rPr>
        <w:t>）</w:t>
      </w:r>
      <w:r>
        <w:rPr>
          <w:rFonts w:hint="eastAsia" w:ascii="仿宋_GB2312"/>
          <w:szCs w:val="32"/>
          <w:u w:val="single"/>
        </w:rPr>
        <w:t xml:space="preserve">    </w:t>
      </w:r>
      <w:r>
        <w:rPr>
          <w:rFonts w:hint="eastAsia" w:ascii="仿宋_GB2312"/>
          <w:szCs w:val="32"/>
        </w:rPr>
        <w:t>号）要求，根据</w:t>
      </w:r>
      <w:r>
        <w:rPr>
          <w:rFonts w:hint="eastAsia" w:ascii="仿宋_GB2312" w:cs="仿宋_GB2312"/>
          <w:szCs w:val="32"/>
        </w:rPr>
        <w:t>《深圳市总部项目遴选及用地供应管理办法》（</w:t>
      </w:r>
      <w:r>
        <w:rPr>
          <w:rFonts w:hint="eastAsia" w:ascii="仿宋_GB2312"/>
          <w:szCs w:val="32"/>
        </w:rPr>
        <w:t>深府规〔2018〕1号，以下简称《管理办法》</w:t>
      </w:r>
      <w:r>
        <w:rPr>
          <w:rFonts w:hint="eastAsia" w:ascii="仿宋_GB2312" w:cs="仿宋_GB2312"/>
          <w:szCs w:val="32"/>
        </w:rPr>
        <w:t>）、《深圳市鼓励总部企业发展实施办法》（深府规〔2017〕7号，以下简称《实施办法》）</w:t>
      </w:r>
      <w:r>
        <w:rPr>
          <w:rFonts w:hint="eastAsia" w:ascii="仿宋_GB2312"/>
          <w:szCs w:val="32"/>
        </w:rPr>
        <w:t>的有关规定及已公示的《</w:t>
      </w:r>
      <w:r>
        <w:rPr>
          <w:rFonts w:hint="eastAsia" w:ascii="宋体"/>
          <w:szCs w:val="32"/>
          <w:u w:val="single"/>
        </w:rPr>
        <w:t xml:space="preserve">        </w:t>
      </w:r>
      <w:r>
        <w:rPr>
          <w:rFonts w:hint="eastAsia" w:ascii="仿宋_GB2312"/>
          <w:szCs w:val="32"/>
          <w:u w:val="single"/>
        </w:rPr>
        <w:t xml:space="preserve"> </w:t>
      </w:r>
      <w:r>
        <w:rPr>
          <w:rFonts w:hint="eastAsia" w:ascii="宋体"/>
          <w:szCs w:val="32"/>
          <w:u w:val="single"/>
        </w:rPr>
        <w:t xml:space="preserve"> </w:t>
      </w:r>
      <w:r>
        <w:rPr>
          <w:rFonts w:hint="eastAsia" w:ascii="仿宋_GB2312"/>
          <w:szCs w:val="32"/>
        </w:rPr>
        <w:t>总部项目遴选方案》，经甲、乙、丙（乙方控股股东或其实际控制人）三方同意，签订本发展监管协议。</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一、地块基本情况</w:t>
      </w:r>
    </w:p>
    <w:p>
      <w:pPr>
        <w:overflowPunct w:val="0"/>
        <w:spacing w:line="620" w:lineRule="exact"/>
        <w:ind w:firstLine="624" w:firstLineChars="200"/>
        <w:rPr>
          <w:rFonts w:ascii="仿宋_GB2312" w:hAnsi="宋体" w:cs="仿宋_GB2312"/>
          <w:szCs w:val="32"/>
          <w:u w:val="single"/>
        </w:rPr>
      </w:pPr>
      <w:r>
        <w:rPr>
          <w:rFonts w:hint="eastAsia" w:ascii="仿宋_GB2312" w:hAnsi="Calibri" w:cs="仿宋_GB2312"/>
          <w:szCs w:val="32"/>
        </w:rPr>
        <w:t>宗地编号：</w:t>
      </w:r>
      <w:r>
        <w:rPr>
          <w:rFonts w:hint="eastAsia" w:ascii="仿宋_GB2312" w:hAnsi="Calibri" w:cs="仿宋_GB2312"/>
          <w:szCs w:val="32"/>
          <w:u w:val="single"/>
        </w:rPr>
        <w:t xml:space="preserve">  DU09-01地块                             </w:t>
      </w:r>
    </w:p>
    <w:p>
      <w:pPr>
        <w:overflowPunct w:val="0"/>
        <w:spacing w:line="620" w:lineRule="exact"/>
        <w:ind w:firstLine="624" w:firstLineChars="200"/>
        <w:rPr>
          <w:rFonts w:ascii="仿宋_GB2312" w:hAnsi="Calibri" w:cs="仿宋_GB2312"/>
          <w:szCs w:val="32"/>
          <w:u w:val="single"/>
        </w:rPr>
      </w:pPr>
      <w:r>
        <w:rPr>
          <w:rFonts w:hint="eastAsia" w:ascii="仿宋_GB2312" w:hAnsi="Calibri" w:cs="仿宋_GB2312"/>
          <w:szCs w:val="32"/>
        </w:rPr>
        <w:t>土地位置：</w:t>
      </w:r>
      <w:r>
        <w:rPr>
          <w:rFonts w:hint="eastAsia" w:ascii="仿宋_GB2312" w:hAnsi="Calibri" w:cs="仿宋_GB2312"/>
          <w:szCs w:val="32"/>
          <w:u w:val="single"/>
        </w:rPr>
        <w:t xml:space="preserve">  深圳湾超级总部基地                      </w:t>
      </w:r>
    </w:p>
    <w:p>
      <w:pPr>
        <w:overflowPunct w:val="0"/>
        <w:spacing w:line="620" w:lineRule="exact"/>
        <w:ind w:firstLine="624" w:firstLineChars="200"/>
        <w:rPr>
          <w:rFonts w:ascii="仿宋_GB2312" w:hAnsi="Calibri" w:cs="仿宋_GB2312"/>
          <w:szCs w:val="32"/>
          <w:u w:val="single"/>
        </w:rPr>
      </w:pPr>
      <w:r>
        <w:rPr>
          <w:rFonts w:hint="eastAsia" w:ascii="仿宋_GB2312" w:hAnsi="Calibri" w:cs="仿宋_GB2312"/>
          <w:szCs w:val="32"/>
        </w:rPr>
        <w:t>土地用途：</w:t>
      </w:r>
      <w:r>
        <w:rPr>
          <w:rFonts w:hint="eastAsia" w:ascii="仿宋_GB2312" w:hAnsi="Calibri" w:cs="仿宋_GB2312"/>
          <w:szCs w:val="32"/>
          <w:u w:val="single"/>
        </w:rPr>
        <w:t xml:space="preserve">  商业服务用地（C）                       </w:t>
      </w:r>
    </w:p>
    <w:p>
      <w:pPr>
        <w:overflowPunct w:val="0"/>
        <w:spacing w:line="620" w:lineRule="exact"/>
        <w:ind w:firstLine="624" w:firstLineChars="200"/>
        <w:rPr>
          <w:rFonts w:ascii="仿宋_GB2312" w:hAnsi="Calibri" w:cs="仿宋_GB2312"/>
          <w:szCs w:val="32"/>
          <w:u w:val="single"/>
        </w:rPr>
      </w:pPr>
      <w:r>
        <w:rPr>
          <w:rFonts w:hint="eastAsia" w:ascii="仿宋_GB2312" w:hAnsi="Calibri" w:cs="仿宋_GB2312"/>
          <w:szCs w:val="32"/>
        </w:rPr>
        <w:t>总用地面积（平方米）：</w:t>
      </w:r>
      <w:r>
        <w:rPr>
          <w:rFonts w:hint="eastAsia" w:ascii="仿宋_GB2312" w:hAnsi="Calibri" w:cs="仿宋_GB2312"/>
          <w:szCs w:val="32"/>
          <w:u w:val="single"/>
        </w:rPr>
        <w:t xml:space="preserve"> 约0.82万平方米               </w:t>
      </w:r>
    </w:p>
    <w:p>
      <w:pPr>
        <w:overflowPunct w:val="0"/>
        <w:spacing w:line="620" w:lineRule="exact"/>
        <w:ind w:firstLine="624" w:firstLineChars="200"/>
        <w:rPr>
          <w:rFonts w:ascii="仿宋_GB2312" w:hAnsi="Calibri" w:cs="仿宋_GB2312"/>
          <w:szCs w:val="32"/>
          <w:u w:val="single"/>
        </w:rPr>
      </w:pPr>
      <w:r>
        <w:rPr>
          <w:rFonts w:hint="eastAsia" w:ascii="仿宋_GB2312" w:hAnsi="Calibri" w:cs="仿宋_GB2312"/>
          <w:szCs w:val="32"/>
        </w:rPr>
        <w:t>总建筑面积（平方米）：</w:t>
      </w:r>
      <w:r>
        <w:rPr>
          <w:rFonts w:hint="eastAsia" w:ascii="仿宋_GB2312" w:hAnsi="Calibri" w:cs="仿宋_GB2312"/>
          <w:szCs w:val="32"/>
          <w:u w:val="single"/>
        </w:rPr>
        <w:t xml:space="preserve">                               </w:t>
      </w:r>
    </w:p>
    <w:p>
      <w:pPr>
        <w:overflowPunct w:val="0"/>
        <w:spacing w:line="620" w:lineRule="exact"/>
        <w:ind w:firstLine="624" w:firstLineChars="200"/>
        <w:rPr>
          <w:rFonts w:ascii="仿宋_GB2312" w:hAnsi="仿宋_GB2312" w:cs="仿宋_GB2312"/>
          <w:szCs w:val="32"/>
          <w:u w:val="single"/>
        </w:rPr>
      </w:pPr>
      <w:r>
        <w:rPr>
          <w:rFonts w:hint="eastAsia" w:ascii="仿宋_GB2312" w:hAnsi="Calibri" w:cs="仿宋_GB2312"/>
          <w:szCs w:val="32"/>
        </w:rPr>
        <w:t>项目名称：</w:t>
      </w:r>
      <w:r>
        <w:rPr>
          <w:rFonts w:hint="eastAsia" w:ascii="仿宋_GB2312" w:hAnsi="Calibri" w:cs="仿宋_GB2312"/>
          <w:szCs w:val="32"/>
          <w:u w:val="single"/>
        </w:rPr>
        <w:t xml:space="preserve">   先进半导体显示产业总部                 </w:t>
      </w:r>
    </w:p>
    <w:p>
      <w:pPr>
        <w:overflowPunct w:val="0"/>
        <w:spacing w:line="620" w:lineRule="exact"/>
        <w:ind w:firstLine="624" w:firstLineChars="200"/>
        <w:rPr>
          <w:rFonts w:ascii="Calibri" w:hAnsi="宋体" w:eastAsia="宋体" w:cs="仿宋_GB2312"/>
          <w:szCs w:val="32"/>
          <w:u w:val="single"/>
        </w:rPr>
      </w:pPr>
      <w:r>
        <w:rPr>
          <w:rFonts w:hint="eastAsia" w:ascii="仿宋_GB2312" w:hAnsi="Calibri" w:cs="仿宋_GB2312"/>
          <w:szCs w:val="32"/>
        </w:rPr>
        <w:t>土地出让年期：</w:t>
      </w:r>
      <w:r>
        <w:rPr>
          <w:rFonts w:hint="eastAsia" w:ascii="仿宋_GB2312" w:hAnsi="Calibri" w:cs="仿宋_GB2312"/>
          <w:szCs w:val="32"/>
          <w:u w:val="single"/>
        </w:rPr>
        <w:t xml:space="preserve">   30   </w:t>
      </w:r>
      <w:r>
        <w:rPr>
          <w:rFonts w:hint="eastAsia" w:ascii="仿宋_GB2312" w:hAnsi="Calibri" w:cs="仿宋_GB2312"/>
          <w:szCs w:val="32"/>
        </w:rPr>
        <w:t>年</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二、甲方权利和义务</w:t>
      </w:r>
    </w:p>
    <w:p>
      <w:pPr>
        <w:overflowPunct w:val="0"/>
        <w:spacing w:line="620" w:lineRule="exact"/>
        <w:ind w:firstLine="624" w:firstLineChars="200"/>
        <w:rPr>
          <w:rFonts w:ascii="仿宋_GB2312"/>
          <w:szCs w:val="32"/>
        </w:rPr>
      </w:pPr>
      <w:r>
        <w:rPr>
          <w:rFonts w:hint="eastAsia" w:ascii="仿宋_GB2312"/>
          <w:szCs w:val="32"/>
        </w:rPr>
        <w:t>（一）甲方应在法律、法规允许范围内，根据深圳市产业发展战略和总部经济政策，为乙方的总部用地项目提供指导性服务。</w:t>
      </w:r>
    </w:p>
    <w:p>
      <w:pPr>
        <w:overflowPunct w:val="0"/>
        <w:spacing w:line="620" w:lineRule="exact"/>
        <w:ind w:firstLine="624" w:firstLineChars="200"/>
        <w:rPr>
          <w:rFonts w:ascii="Calibri" w:hAnsi="Calibri" w:eastAsia="宋体" w:cs="仿宋_GB2312"/>
          <w:b/>
          <w:bCs/>
          <w:szCs w:val="32"/>
        </w:rPr>
      </w:pPr>
      <w:r>
        <w:rPr>
          <w:rFonts w:hint="eastAsia" w:ascii="仿宋_GB2312"/>
          <w:szCs w:val="32"/>
        </w:rPr>
        <w:t>（二）甲方应当对乙方和丙方实行全出让年期考核监管，在乙方于本协议约定承诺期届满后1年内、承诺期届满后每隔5年、出让期届满前1年内等阶段对本协议约定事项的履行情况进行核查，如乙方、丙方未达到本协议承诺和有关约定的，甲方可按照本协议约定的违约责任追究乙方、丙方的责任。</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三、乙方、</w:t>
      </w:r>
      <w:r>
        <w:rPr>
          <w:rFonts w:hint="eastAsia" w:ascii="黑体" w:eastAsia="黑体"/>
          <w:bCs/>
          <w:szCs w:val="32"/>
        </w:rPr>
        <w:t>丙方的</w:t>
      </w:r>
      <w:r>
        <w:rPr>
          <w:rFonts w:hint="eastAsia" w:ascii="黑体" w:hAnsi="黑体" w:eastAsia="黑体" w:cs="仿宋_GB2312"/>
          <w:szCs w:val="32"/>
        </w:rPr>
        <w:t>权利和义务</w:t>
      </w:r>
    </w:p>
    <w:p>
      <w:pPr>
        <w:overflowPunct w:val="0"/>
        <w:spacing w:line="620" w:lineRule="exact"/>
        <w:ind w:firstLine="624" w:firstLineChars="200"/>
        <w:rPr>
          <w:rFonts w:ascii="仿宋_GB2312" w:hAnsi="宋体" w:cs="仿宋_GB2312"/>
          <w:szCs w:val="32"/>
        </w:rPr>
      </w:pPr>
      <w:r>
        <w:rPr>
          <w:rFonts w:hint="eastAsia" w:ascii="仿宋_GB2312" w:hAnsi="Calibri" w:cs="仿宋_GB2312"/>
          <w:szCs w:val="32"/>
        </w:rPr>
        <w:t>（一）乙方应当遵循《管理办法》和《实施办法》的规定，按期全面履行本协议承诺和有关约定，积极推进总部项目的投资建设。</w:t>
      </w:r>
    </w:p>
    <w:p>
      <w:pPr>
        <w:overflowPunct w:val="0"/>
        <w:spacing w:line="620" w:lineRule="exact"/>
        <w:ind w:firstLine="624" w:firstLineChars="200"/>
        <w:rPr>
          <w:rFonts w:ascii="仿宋_GB2312" w:hAnsi="Calibri" w:cs="仿宋_GB2312"/>
          <w:szCs w:val="32"/>
        </w:rPr>
      </w:pPr>
      <w:r>
        <w:rPr>
          <w:rFonts w:hint="eastAsia" w:ascii="仿宋_GB2312" w:hAnsi="Calibri" w:cs="仿宋_GB2312"/>
          <w:szCs w:val="32"/>
        </w:rPr>
        <w:t>（二）乙方竞买取得的上述地块只能用于</w:t>
      </w:r>
      <w:r>
        <w:rPr>
          <w:rFonts w:hint="eastAsia" w:ascii="仿宋_GB2312" w:hAnsi="Calibri" w:cs="仿宋_GB2312"/>
          <w:szCs w:val="32"/>
          <w:u w:val="single"/>
        </w:rPr>
        <w:t xml:space="preserve"> 先进半导体显示产业总部 </w:t>
      </w:r>
      <w:r>
        <w:rPr>
          <w:rFonts w:hint="eastAsia" w:ascii="仿宋_GB2312" w:hAnsi="Calibri" w:cs="仿宋_GB2312"/>
          <w:szCs w:val="32"/>
        </w:rPr>
        <w:t>的项目建设。</w:t>
      </w:r>
    </w:p>
    <w:p>
      <w:pPr>
        <w:overflowPunct w:val="0"/>
        <w:spacing w:line="620" w:lineRule="exact"/>
        <w:ind w:firstLine="624" w:firstLineChars="200"/>
        <w:rPr>
          <w:rFonts w:ascii="仿宋_GB2312" w:hAnsi="Calibri" w:cs="仿宋_GB2312"/>
          <w:szCs w:val="32"/>
        </w:rPr>
      </w:pPr>
      <w:r>
        <w:rPr>
          <w:rFonts w:hint="eastAsia" w:ascii="仿宋_GB2312" w:hAnsi="Calibri" w:cs="仿宋_GB2312"/>
          <w:szCs w:val="32"/>
        </w:rPr>
        <w:t>（三）乙方承诺：</w:t>
      </w:r>
    </w:p>
    <w:p>
      <w:pPr>
        <w:overflowPunct w:val="0"/>
        <w:spacing w:line="620" w:lineRule="exact"/>
        <w:ind w:firstLine="624" w:firstLineChars="200"/>
        <w:rPr>
          <w:rFonts w:ascii="仿宋_GB2312" w:hAnsi="Calibri" w:cs="仿宋_GB2312"/>
          <w:szCs w:val="32"/>
        </w:rPr>
      </w:pPr>
      <w:r>
        <w:rPr>
          <w:rFonts w:hint="eastAsia" w:ascii="仿宋_GB2312" w:hAnsi="Calibri" w:cs="仿宋_GB2312"/>
          <w:szCs w:val="32"/>
        </w:rPr>
        <w:t>1、产值规模（营业收入）：乙方在完成遴选方案及监管协议公示之日的自然年度起5年内，即</w:t>
      </w:r>
      <w:r>
        <w:rPr>
          <w:rFonts w:hint="eastAsia" w:ascii="仿宋_GB2312" w:hAnsi="Calibri" w:cs="仿宋_GB2312"/>
          <w:szCs w:val="32"/>
          <w:u w:val="single"/>
        </w:rPr>
        <w:t xml:space="preserve"> 2020</w:t>
      </w:r>
      <w:r>
        <w:rPr>
          <w:rFonts w:hint="eastAsia" w:ascii="仿宋_GB2312" w:hAnsi="Calibri" w:cs="仿宋_GB2312"/>
          <w:szCs w:val="32"/>
        </w:rPr>
        <w:t>年</w:t>
      </w:r>
      <w:r>
        <w:rPr>
          <w:rFonts w:hint="eastAsia" w:ascii="仿宋_GB2312" w:hAnsi="Calibri" w:cs="仿宋_GB2312"/>
          <w:szCs w:val="32"/>
          <w:u w:val="single"/>
        </w:rPr>
        <w:t>1</w:t>
      </w:r>
      <w:r>
        <w:rPr>
          <w:rFonts w:hint="eastAsia" w:ascii="仿宋_GB2312" w:hAnsi="Calibri" w:cs="仿宋_GB2312"/>
          <w:szCs w:val="32"/>
        </w:rPr>
        <w:t>月</w:t>
      </w:r>
      <w:r>
        <w:rPr>
          <w:rFonts w:hint="eastAsia" w:ascii="仿宋_GB2312" w:hAnsi="Calibri" w:cs="仿宋_GB2312"/>
          <w:szCs w:val="32"/>
          <w:u w:val="single"/>
        </w:rPr>
        <w:t xml:space="preserve"> 1</w:t>
      </w:r>
      <w:r>
        <w:rPr>
          <w:rFonts w:hint="eastAsia" w:ascii="仿宋_GB2312" w:hAnsi="Calibri" w:cs="仿宋_GB2312"/>
          <w:szCs w:val="32"/>
        </w:rPr>
        <w:t>日至</w:t>
      </w:r>
      <w:r>
        <w:rPr>
          <w:rFonts w:hint="eastAsia" w:ascii="仿宋_GB2312" w:hAnsi="Calibri" w:cs="仿宋_GB2312"/>
          <w:szCs w:val="32"/>
          <w:u w:val="single"/>
        </w:rPr>
        <w:t xml:space="preserve"> 2024 </w:t>
      </w:r>
      <w:r>
        <w:rPr>
          <w:rFonts w:hint="eastAsia" w:ascii="仿宋_GB2312" w:hAnsi="Calibri" w:cs="仿宋_GB2312"/>
          <w:szCs w:val="32"/>
        </w:rPr>
        <w:t>年</w:t>
      </w:r>
      <w:r>
        <w:rPr>
          <w:rFonts w:hint="eastAsia" w:ascii="仿宋_GB2312" w:hAnsi="Calibri" w:cs="仿宋_GB2312"/>
          <w:szCs w:val="32"/>
          <w:u w:val="single"/>
        </w:rPr>
        <w:t>12</w:t>
      </w:r>
      <w:r>
        <w:rPr>
          <w:rFonts w:hint="eastAsia" w:ascii="仿宋_GB2312" w:hAnsi="Calibri" w:cs="仿宋_GB2312"/>
          <w:szCs w:val="32"/>
        </w:rPr>
        <w:t>月</w:t>
      </w:r>
      <w:r>
        <w:rPr>
          <w:rFonts w:hint="eastAsia" w:ascii="仿宋_GB2312" w:hAnsi="Calibri" w:cs="仿宋_GB2312"/>
          <w:szCs w:val="32"/>
          <w:u w:val="single"/>
        </w:rPr>
        <w:t>31</w:t>
      </w:r>
      <w:r>
        <w:rPr>
          <w:rFonts w:hint="eastAsia" w:ascii="仿宋_GB2312" w:hAnsi="Calibri" w:cs="仿宋_GB2312"/>
          <w:szCs w:val="32"/>
        </w:rPr>
        <w:t>日止（以下简称“承诺期”），累计纳入深圳市统计核算的产值规模（营业收入）不少于</w:t>
      </w:r>
      <w:r>
        <w:rPr>
          <w:rFonts w:hint="eastAsia" w:ascii="仿宋_GB2312" w:hAnsi="Calibri" w:cs="仿宋_GB2312"/>
          <w:szCs w:val="32"/>
          <w:u w:val="single"/>
        </w:rPr>
        <w:t xml:space="preserve"> 1300</w:t>
      </w:r>
      <w:r>
        <w:rPr>
          <w:rFonts w:hint="eastAsia" w:ascii="仿宋_GB2312" w:hAnsi="Calibri" w:cs="仿宋_GB2312"/>
          <w:szCs w:val="32"/>
        </w:rPr>
        <w:t>亿元。</w:t>
      </w:r>
    </w:p>
    <w:p>
      <w:pPr>
        <w:overflowPunct w:val="0"/>
        <w:spacing w:line="620" w:lineRule="exact"/>
        <w:ind w:firstLine="624" w:firstLineChars="200"/>
        <w:rPr>
          <w:rFonts w:ascii="仿宋_GB2312" w:hAnsi="Calibri" w:cs="仿宋_GB2312"/>
          <w:szCs w:val="32"/>
        </w:rPr>
      </w:pPr>
      <w:r>
        <w:rPr>
          <w:rFonts w:hint="eastAsia" w:ascii="仿宋_GB2312" w:hAnsi="Calibri" w:cs="仿宋_GB2312"/>
          <w:szCs w:val="32"/>
        </w:rPr>
        <w:t>2、形成地方财力规模：乙方在完成遴选方案及监管协议公示之日的自然年度起5年内，即</w:t>
      </w:r>
      <w:r>
        <w:rPr>
          <w:rFonts w:hint="eastAsia" w:ascii="仿宋_GB2312" w:hAnsi="Calibri" w:cs="仿宋_GB2312"/>
          <w:szCs w:val="32"/>
          <w:u w:val="single"/>
        </w:rPr>
        <w:t>2020</w:t>
      </w:r>
      <w:r>
        <w:rPr>
          <w:rFonts w:hint="eastAsia" w:ascii="仿宋_GB2312" w:hAnsi="Calibri" w:cs="仿宋_GB2312"/>
          <w:szCs w:val="32"/>
        </w:rPr>
        <w:t>年</w:t>
      </w:r>
      <w:r>
        <w:rPr>
          <w:rFonts w:hint="eastAsia" w:ascii="仿宋_GB2312" w:hAnsi="Calibri" w:cs="仿宋_GB2312"/>
          <w:szCs w:val="32"/>
          <w:u w:val="single"/>
        </w:rPr>
        <w:t>1</w:t>
      </w:r>
      <w:r>
        <w:rPr>
          <w:rFonts w:hint="eastAsia" w:ascii="仿宋_GB2312" w:hAnsi="Calibri" w:cs="仿宋_GB2312"/>
          <w:szCs w:val="32"/>
        </w:rPr>
        <w:t>月</w:t>
      </w:r>
      <w:r>
        <w:rPr>
          <w:rFonts w:hint="eastAsia" w:ascii="仿宋_GB2312" w:hAnsi="Calibri" w:cs="仿宋_GB2312"/>
          <w:szCs w:val="32"/>
          <w:u w:val="single"/>
        </w:rPr>
        <w:t>1</w:t>
      </w:r>
      <w:r>
        <w:rPr>
          <w:rFonts w:hint="eastAsia" w:ascii="仿宋_GB2312" w:hAnsi="Calibri" w:cs="仿宋_GB2312"/>
          <w:szCs w:val="32"/>
        </w:rPr>
        <w:t>日至</w:t>
      </w:r>
      <w:r>
        <w:rPr>
          <w:rFonts w:hint="eastAsia" w:ascii="仿宋_GB2312" w:hAnsi="Calibri" w:cs="仿宋_GB2312"/>
          <w:szCs w:val="32"/>
          <w:u w:val="single"/>
        </w:rPr>
        <w:t>2024</w:t>
      </w:r>
      <w:r>
        <w:rPr>
          <w:rFonts w:hint="eastAsia" w:ascii="仿宋_GB2312" w:hAnsi="Calibri" w:cs="仿宋_GB2312"/>
          <w:szCs w:val="32"/>
        </w:rPr>
        <w:t>年</w:t>
      </w:r>
      <w:r>
        <w:rPr>
          <w:rFonts w:hint="eastAsia" w:ascii="仿宋_GB2312" w:hAnsi="Calibri" w:cs="仿宋_GB2312"/>
          <w:szCs w:val="32"/>
          <w:u w:val="single"/>
        </w:rPr>
        <w:t>12</w:t>
      </w:r>
      <w:r>
        <w:rPr>
          <w:rFonts w:hint="eastAsia" w:ascii="仿宋_GB2312" w:hAnsi="Calibri" w:cs="仿宋_GB2312"/>
          <w:szCs w:val="32"/>
        </w:rPr>
        <w:t>月</w:t>
      </w:r>
      <w:r>
        <w:rPr>
          <w:rFonts w:hint="eastAsia" w:ascii="仿宋_GB2312" w:hAnsi="Calibri" w:cs="仿宋_GB2312"/>
          <w:szCs w:val="32"/>
          <w:u w:val="single"/>
        </w:rPr>
        <w:t>31</w:t>
      </w:r>
      <w:r>
        <w:rPr>
          <w:rFonts w:hint="eastAsia" w:ascii="仿宋_GB2312" w:hAnsi="Calibri" w:cs="仿宋_GB2312"/>
          <w:szCs w:val="32"/>
        </w:rPr>
        <w:t>日止，累计在深圳市形成地方财力不少于</w:t>
      </w:r>
      <w:r>
        <w:rPr>
          <w:rFonts w:hint="eastAsia" w:ascii="仿宋_GB2312" w:hAnsi="Calibri" w:cs="仿宋_GB2312"/>
          <w:szCs w:val="32"/>
          <w:u w:val="single"/>
        </w:rPr>
        <w:t xml:space="preserve"> 11.98</w:t>
      </w:r>
      <w:r>
        <w:rPr>
          <w:rFonts w:hint="eastAsia" w:ascii="仿宋_GB2312" w:hAnsi="Calibri" w:cs="仿宋_GB2312"/>
          <w:szCs w:val="32"/>
        </w:rPr>
        <w:t>亿元。</w:t>
      </w:r>
    </w:p>
    <w:p>
      <w:pPr>
        <w:overflowPunct w:val="0"/>
        <w:spacing w:line="620" w:lineRule="exact"/>
        <w:ind w:firstLine="624" w:firstLineChars="200"/>
        <w:rPr>
          <w:rFonts w:ascii="仿宋_GB2312" w:hAnsi="Calibri" w:cs="仿宋_GB2312"/>
          <w:szCs w:val="32"/>
        </w:rPr>
      </w:pPr>
      <w:r>
        <w:rPr>
          <w:rFonts w:hint="eastAsia" w:ascii="仿宋_GB2312" w:hAnsi="Calibri" w:cs="仿宋_GB2312"/>
          <w:szCs w:val="32"/>
        </w:rPr>
        <w:t>（四）实缴注册资本限制：乙方在土地出让年期内</w:t>
      </w:r>
      <w:r>
        <w:rPr>
          <w:rFonts w:hint="eastAsia" w:ascii="仿宋_GB2312" w:hAnsi="微软雅黑" w:cs="仿宋_GB2312"/>
          <w:color w:val="040404"/>
          <w:szCs w:val="32"/>
        </w:rPr>
        <w:t>实缴注册资本不低于</w:t>
      </w:r>
      <w:r>
        <w:rPr>
          <w:rFonts w:hint="eastAsia" w:ascii="仿宋_GB2312" w:hAnsi="Calibri" w:cs="仿宋_GB2312"/>
          <w:szCs w:val="32"/>
          <w:u w:val="single"/>
        </w:rPr>
        <w:t xml:space="preserve"> 198</w:t>
      </w:r>
      <w:r>
        <w:rPr>
          <w:rFonts w:hint="eastAsia" w:ascii="仿宋_GB2312" w:hAnsi="Calibri" w:cs="仿宋_GB2312"/>
          <w:szCs w:val="32"/>
        </w:rPr>
        <w:t>亿元。</w:t>
      </w:r>
    </w:p>
    <w:p>
      <w:pPr>
        <w:overflowPunct w:val="0"/>
        <w:spacing w:line="620" w:lineRule="exact"/>
        <w:ind w:firstLine="624" w:firstLineChars="200"/>
        <w:rPr>
          <w:rFonts w:ascii="仿宋_GB2312" w:hAnsi="Calibri" w:cs="仿宋_GB2312"/>
          <w:szCs w:val="32"/>
        </w:rPr>
      </w:pPr>
      <w:r>
        <w:rPr>
          <w:rFonts w:hint="eastAsia" w:ascii="仿宋_GB2312" w:hAnsi="Calibri" w:cs="仿宋_GB2312"/>
          <w:szCs w:val="32"/>
        </w:rPr>
        <w:t>（五）转让或出租限制：乙方的</w:t>
      </w:r>
      <w:r>
        <w:rPr>
          <w:rFonts w:hint="eastAsia" w:ascii="仿宋_GB2312" w:hAnsi="Calibri" w:cs="仿宋_GB2312"/>
          <w:szCs w:val="32"/>
          <w:u w:val="single"/>
        </w:rPr>
        <w:t xml:space="preserve"> 先进半导体显示产业总部 </w:t>
      </w:r>
      <w:r>
        <w:rPr>
          <w:rFonts w:hint="eastAsia" w:ascii="仿宋_GB2312" w:hAnsi="Calibri" w:cs="仿宋_GB2312"/>
          <w:szCs w:val="32"/>
        </w:rPr>
        <w:t>项目建成后，该项目</w:t>
      </w:r>
      <w:r>
        <w:rPr>
          <w:rFonts w:hint="eastAsia" w:ascii="仿宋_GB2312" w:hAnsi="Calibri" w:cs="仿宋_GB2312"/>
          <w:szCs w:val="32"/>
          <w:u w:val="single"/>
        </w:rPr>
        <w:t xml:space="preserve">60% </w:t>
      </w:r>
      <w:r>
        <w:rPr>
          <w:rFonts w:hint="eastAsia" w:ascii="仿宋_GB2312" w:hAnsi="Calibri" w:cs="仿宋_GB2312"/>
          <w:szCs w:val="32"/>
        </w:rPr>
        <w:t>的建筑面积在土地出让年期内不得转让（以下简称自用部分建筑），其余部分为非自用部分建筑。非自用部分建筑允许租售，其中办公用房比例为</w:t>
      </w:r>
      <w:r>
        <w:rPr>
          <w:rFonts w:hint="eastAsia" w:ascii="仿宋_GB2312" w:hAnsi="Calibri" w:cs="仿宋_GB2312"/>
          <w:szCs w:val="32"/>
          <w:u w:val="single"/>
        </w:rPr>
        <w:t>50%</w:t>
      </w:r>
      <w:r>
        <w:rPr>
          <w:rFonts w:hint="eastAsia" w:ascii="仿宋_GB2312" w:hAnsi="Calibri" w:cs="仿宋_GB2312"/>
          <w:szCs w:val="32"/>
        </w:rPr>
        <w:t>。</w:t>
      </w:r>
      <w:r>
        <w:rPr>
          <w:rFonts w:hint="eastAsia" w:ascii="仿宋_GB2312" w:hAnsi="仿宋_GB2312" w:cs="仿宋_GB2312"/>
          <w:szCs w:val="32"/>
          <w:lang w:bidi="ar"/>
        </w:rPr>
        <w:t>非自用办公用房作为政策性优惠性商业办公用房由受让单位租售，最高售价和最高租金为申请销售和出租时市场评估价的</w:t>
      </w:r>
      <w:r>
        <w:rPr>
          <w:rFonts w:hint="eastAsia" w:ascii="仿宋_GB2312" w:hAnsi="仿宋_GB2312" w:cs="仿宋_GB2312"/>
          <w:szCs w:val="32"/>
          <w:u w:val="single"/>
          <w:lang w:bidi="ar"/>
        </w:rPr>
        <w:t>70%</w:t>
      </w:r>
      <w:r>
        <w:rPr>
          <w:rFonts w:hint="eastAsia" w:ascii="仿宋_GB2312" w:hAnsi="仿宋_GB2312" w:cs="仿宋_GB2312"/>
          <w:szCs w:val="32"/>
          <w:lang w:bidi="ar"/>
        </w:rPr>
        <w:t>，租售对象为区政府指定的企业，并接受区政府的产业监管</w:t>
      </w:r>
      <w:r>
        <w:rPr>
          <w:rFonts w:hint="eastAsia" w:ascii="仿宋_GB2312" w:cs="仿宋_GB2312"/>
          <w:szCs w:val="32"/>
        </w:rPr>
        <w:t>。</w:t>
      </w:r>
      <w:r>
        <w:rPr>
          <w:rFonts w:hint="eastAsia" w:ascii="仿宋_GB2312" w:hAnsi="Calibri" w:cs="仿宋_GB2312"/>
          <w:szCs w:val="32"/>
        </w:rPr>
        <w:t>除办公用房外的非自用部分建筑，在5年承诺期届满，产业发展监管协议履约考核通过后方可转让。自用部分及非自用部分建筑中的办公用房面积和分布位置须相对集中，具体分布位置在项目报建时由甲方予以明确。项目配套建设的商务公寓（如有）在土地出让年期内不得转让。</w:t>
      </w:r>
    </w:p>
    <w:p>
      <w:pPr>
        <w:overflowPunct w:val="0"/>
        <w:spacing w:line="620" w:lineRule="exact"/>
        <w:ind w:firstLine="624" w:firstLineChars="200"/>
        <w:rPr>
          <w:rFonts w:ascii="仿宋_GB2312" w:cs="仿宋_GB2312"/>
          <w:szCs w:val="32"/>
        </w:rPr>
      </w:pPr>
      <w:r>
        <w:rPr>
          <w:rFonts w:hint="eastAsia" w:ascii="仿宋_GB2312" w:hAnsi="Calibri" w:cs="仿宋_GB2312"/>
          <w:szCs w:val="32"/>
        </w:rPr>
        <w:t>（六）</w:t>
      </w:r>
      <w:r>
        <w:rPr>
          <w:rFonts w:hint="eastAsia" w:ascii="仿宋_GB2312" w:cs="仿宋_GB2312"/>
          <w:szCs w:val="32"/>
        </w:rPr>
        <w:t>股权变更限制：乙方、丙方在全出让年期内均不得以股权转让或变更的方式变相转让建设用地使用权以及附着于该土地上的建筑物、构筑物及其附属设施。</w:t>
      </w:r>
    </w:p>
    <w:p>
      <w:pPr>
        <w:overflowPunct w:val="0"/>
        <w:spacing w:line="620" w:lineRule="exact"/>
        <w:ind w:firstLine="624" w:firstLineChars="200"/>
        <w:rPr>
          <w:rFonts w:ascii="仿宋_GB2312" w:hAnsi="Calibri" w:cs="仿宋_GB2312"/>
          <w:color w:val="000000"/>
          <w:szCs w:val="32"/>
        </w:rPr>
      </w:pPr>
      <w:r>
        <w:rPr>
          <w:rFonts w:hint="eastAsia" w:ascii="仿宋_GB2312" w:cs="仿宋_GB2312"/>
          <w:szCs w:val="32"/>
        </w:rPr>
        <w:t>上述所称股权转让是指导致企业控股权或实际控制权发生变更的转让。</w:t>
      </w:r>
    </w:p>
    <w:p>
      <w:pPr>
        <w:overflowPunct w:val="0"/>
        <w:spacing w:line="620" w:lineRule="exact"/>
        <w:ind w:firstLine="624" w:firstLineChars="200"/>
        <w:rPr>
          <w:rFonts w:ascii="仿宋_GB2312" w:hAnsi="Calibri" w:cs="仿宋_GB2312"/>
          <w:szCs w:val="32"/>
        </w:rPr>
      </w:pPr>
      <w:r>
        <w:rPr>
          <w:rFonts w:hint="eastAsia" w:ascii="仿宋_GB2312" w:hAnsi="Calibri" w:cs="仿宋_GB2312"/>
          <w:color w:val="000000"/>
          <w:szCs w:val="32"/>
        </w:rPr>
        <w:t>（七）抵押限制：乙方取</w:t>
      </w:r>
      <w:r>
        <w:rPr>
          <w:rFonts w:hint="eastAsia" w:ascii="仿宋_GB2312" w:hAnsi="Calibri" w:cs="仿宋_GB2312"/>
          <w:szCs w:val="32"/>
        </w:rPr>
        <w:t>得的建设用地使用权及建筑物允许抵押，但抵押金额不得超过合同剩余地价与建筑物残值之和。</w:t>
      </w:r>
    </w:p>
    <w:p>
      <w:pPr>
        <w:overflowPunct w:val="0"/>
        <w:spacing w:line="620" w:lineRule="exact"/>
        <w:ind w:firstLine="624" w:firstLineChars="200"/>
        <w:rPr>
          <w:rFonts w:ascii="仿宋_GB2312"/>
          <w:szCs w:val="32"/>
        </w:rPr>
      </w:pPr>
      <w:r>
        <w:rPr>
          <w:rFonts w:hint="eastAsia" w:ascii="仿宋_GB2312" w:hAnsi="Calibri" w:cs="仿宋_GB2312"/>
          <w:szCs w:val="32"/>
        </w:rPr>
        <w:t>（八）</w:t>
      </w:r>
      <w:r>
        <w:rPr>
          <w:rFonts w:hint="eastAsia" w:ascii="仿宋_GB2312" w:cs="仿宋_GB2312"/>
          <w:szCs w:val="32"/>
        </w:rPr>
        <w:t>强制执行：</w:t>
      </w:r>
      <w:r>
        <w:rPr>
          <w:rFonts w:hint="eastAsia" w:ascii="仿宋_GB2312"/>
          <w:szCs w:val="32"/>
        </w:rPr>
        <w:t>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p>
      <w:pPr>
        <w:overflowPunct w:val="0"/>
        <w:spacing w:line="620" w:lineRule="exact"/>
        <w:ind w:firstLine="624" w:firstLineChars="200"/>
        <w:rPr>
          <w:rFonts w:ascii="黑体" w:hAnsi="黑体" w:eastAsia="黑体" w:cs="仿宋_GB2312"/>
          <w:szCs w:val="32"/>
        </w:rPr>
      </w:pPr>
      <w:r>
        <w:rPr>
          <w:rFonts w:hint="eastAsia" w:ascii="仿宋_GB2312" w:hAnsi="Calibri" w:cs="仿宋_GB2312"/>
          <w:szCs w:val="32"/>
        </w:rPr>
        <w:t>（九）乙方应按甲方要求如实提供相关材料，主动配合甲方按照本协议约定及《管理办法》规定核查乙方的实缴注册资本、产值规模（营业收入）、形成地方财力规模、转让或出租等情况。</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四、履约核查内容及违约责任</w:t>
      </w:r>
    </w:p>
    <w:p>
      <w:pPr>
        <w:overflowPunct w:val="0"/>
        <w:spacing w:line="620" w:lineRule="exact"/>
        <w:ind w:firstLine="624" w:firstLineChars="200"/>
        <w:rPr>
          <w:rFonts w:ascii="仿宋_GB2312"/>
          <w:szCs w:val="32"/>
        </w:rPr>
      </w:pPr>
      <w:r>
        <w:rPr>
          <w:rFonts w:hint="eastAsia" w:ascii="仿宋_GB2312"/>
          <w:szCs w:val="32"/>
        </w:rPr>
        <w:t>（一）履约核查内容及一般违约责任</w:t>
      </w:r>
    </w:p>
    <w:p>
      <w:pPr>
        <w:overflowPunct w:val="0"/>
        <w:spacing w:line="620" w:lineRule="exact"/>
        <w:ind w:firstLine="624" w:firstLineChars="200"/>
        <w:rPr>
          <w:rFonts w:ascii="仿宋_GB2312"/>
          <w:szCs w:val="32"/>
        </w:rPr>
      </w:pPr>
      <w:r>
        <w:rPr>
          <w:rFonts w:hint="eastAsia" w:ascii="仿宋_GB2312"/>
          <w:szCs w:val="32"/>
        </w:rPr>
        <w:t>甲方有权组织相关部门按照本协议约定及《管理办法》规定内容，对乙方、丙方实行全出让年期考核监督，进行履约情况核查。若经甲方核查，乙方、丙方未通过履约核查的，甲方可按照本协议约定及《管理办法》规定追究乙方、丙方违约责任，将乙方、乙方关联企业、丙方及各自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overflowPunct w:val="0"/>
        <w:spacing w:line="620" w:lineRule="exact"/>
        <w:ind w:firstLine="624" w:firstLineChars="200"/>
        <w:rPr>
          <w:rFonts w:ascii="仿宋_GB2312"/>
          <w:bCs/>
          <w:szCs w:val="32"/>
        </w:rPr>
      </w:pPr>
      <w:r>
        <w:rPr>
          <w:rFonts w:hint="eastAsia" w:ascii="仿宋_GB2312"/>
          <w:bCs/>
          <w:szCs w:val="32"/>
        </w:rPr>
        <w:t>（二）违反实缴注册资本的违约责任</w:t>
      </w:r>
    </w:p>
    <w:p>
      <w:pPr>
        <w:overflowPunct w:val="0"/>
        <w:spacing w:line="620" w:lineRule="exact"/>
        <w:ind w:firstLine="624" w:firstLineChars="200"/>
        <w:rPr>
          <w:rFonts w:ascii="仿宋_GB2312"/>
          <w:bCs/>
          <w:szCs w:val="32"/>
        </w:rPr>
      </w:pPr>
      <w:r>
        <w:rPr>
          <w:rFonts w:hint="eastAsia" w:ascii="仿宋_GB2312"/>
          <w:bCs/>
          <w:szCs w:val="32"/>
        </w:rPr>
        <w:t>在土地出让年期内，经甲方核查，乙方实缴注册资本未达到本协议第三条（四）项要求的，甲方有权要求乙方限期补足；限期内拒不补足的，甲方有权按照该地块土地成交价的1‰向乙方收取违约金。</w:t>
      </w:r>
    </w:p>
    <w:p>
      <w:pPr>
        <w:overflowPunct w:val="0"/>
        <w:spacing w:line="620" w:lineRule="exact"/>
        <w:ind w:firstLine="624" w:firstLineChars="200"/>
        <w:rPr>
          <w:rFonts w:ascii="仿宋_GB2312"/>
          <w:bCs/>
          <w:szCs w:val="32"/>
        </w:rPr>
      </w:pPr>
      <w:r>
        <w:rPr>
          <w:rFonts w:hint="eastAsia" w:ascii="仿宋_GB2312"/>
          <w:bCs/>
          <w:szCs w:val="32"/>
        </w:rPr>
        <w:t>（三）违反产值规模（营业收入）承诺的违约责任</w:t>
      </w:r>
    </w:p>
    <w:p>
      <w:pPr>
        <w:overflowPunct w:val="0"/>
        <w:spacing w:line="620" w:lineRule="exact"/>
        <w:ind w:firstLine="624" w:firstLineChars="200"/>
        <w:rPr>
          <w:rFonts w:ascii="仿宋_GB2312"/>
          <w:bCs/>
          <w:szCs w:val="32"/>
        </w:rPr>
      </w:pPr>
      <w:r>
        <w:rPr>
          <w:rFonts w:hint="eastAsia" w:ascii="仿宋_GB2312"/>
          <w:bCs/>
          <w:szCs w:val="32"/>
        </w:rPr>
        <w:t>承诺期届满时，经甲方核查，乙方实际累计纳入深圳市统计核算的产值规模（营业收入）未达到本协议第三条（三）项第1点承诺要求的，甲方有权按照该地块土地成交价的2‰向乙方收取违约金。</w:t>
      </w:r>
    </w:p>
    <w:p>
      <w:pPr>
        <w:overflowPunct w:val="0"/>
        <w:spacing w:line="620" w:lineRule="exact"/>
        <w:ind w:firstLine="624" w:firstLineChars="200"/>
        <w:rPr>
          <w:rFonts w:ascii="仿宋_GB2312"/>
          <w:bCs/>
          <w:szCs w:val="32"/>
        </w:rPr>
      </w:pPr>
      <w:r>
        <w:rPr>
          <w:rFonts w:hint="eastAsia" w:ascii="仿宋_GB2312"/>
          <w:bCs/>
          <w:szCs w:val="32"/>
        </w:rPr>
        <w:t>（四）违反转让、出租物业约定的违约责任</w:t>
      </w:r>
    </w:p>
    <w:p>
      <w:pPr>
        <w:overflowPunct w:val="0"/>
        <w:spacing w:line="620" w:lineRule="exact"/>
        <w:ind w:firstLine="624" w:firstLineChars="200"/>
        <w:rPr>
          <w:rFonts w:ascii="仿宋_GB2312"/>
          <w:bCs/>
          <w:szCs w:val="32"/>
        </w:rPr>
      </w:pPr>
      <w:r>
        <w:rPr>
          <w:rFonts w:hint="eastAsia" w:ascii="仿宋_GB2312"/>
          <w:bCs/>
          <w:szCs w:val="32"/>
        </w:rPr>
        <w:t>在土地出让年期内，经甲方核查，乙方违反本协议第三条（五）项约定出租物业的，甲方有权按照乙方违规出租物业市场租金水平的2倍收取违约金。违反本协议第三条（五）项约定转让本项目物业的，甲方有权提请土地主管部门解除建设用地使用权出让合同，无偿收回土地使用权，地上建（构）筑物及其附属设施按残值方式补偿。</w:t>
      </w:r>
    </w:p>
    <w:p>
      <w:pPr>
        <w:overflowPunct w:val="0"/>
        <w:spacing w:line="620" w:lineRule="exact"/>
        <w:ind w:firstLine="624" w:firstLineChars="200"/>
        <w:rPr>
          <w:rFonts w:ascii="仿宋_GB2312"/>
          <w:szCs w:val="32"/>
        </w:rPr>
      </w:pPr>
      <w:r>
        <w:rPr>
          <w:rFonts w:hint="eastAsia" w:ascii="仿宋_GB2312"/>
          <w:szCs w:val="32"/>
        </w:rPr>
        <w:t>（五）违反形成地方财力约定的违约责任：</w:t>
      </w:r>
    </w:p>
    <w:p>
      <w:pPr>
        <w:overflowPunct w:val="0"/>
        <w:spacing w:line="620" w:lineRule="exact"/>
        <w:ind w:firstLine="624" w:firstLineChars="200"/>
        <w:rPr>
          <w:rFonts w:ascii="仿宋_GB2312"/>
          <w:szCs w:val="32"/>
        </w:rPr>
      </w:pPr>
      <w:r>
        <w:rPr>
          <w:rFonts w:hint="eastAsia" w:ascii="仿宋_GB2312"/>
          <w:szCs w:val="32"/>
        </w:rPr>
        <w:t>1.若经甲方核查，在乙方承诺期届满时，如乙方在承诺期内实际年均形成地方财力达到《实施办法》第三条（一）项规定条件，但未达到承诺年均形成地方财力的，按照以下要求承担违约责任：</w:t>
      </w:r>
    </w:p>
    <w:p>
      <w:pPr>
        <w:overflowPunct w:val="0"/>
        <w:spacing w:line="620" w:lineRule="exact"/>
        <w:ind w:firstLine="624" w:firstLineChars="200"/>
        <w:rPr>
          <w:rFonts w:ascii="仿宋_GB2312"/>
          <w:szCs w:val="32"/>
        </w:rPr>
      </w:pPr>
      <w:r>
        <w:rPr>
          <w:rFonts w:hint="eastAsia" w:ascii="仿宋_GB231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2）达到承诺年均形成地方财力的50%及以上但未达到70%的，乙方应当支付违约金，违约金金额=（承诺期内企业承诺累计形成地方财力-承诺期内企业实际形成地方财力）×2。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2。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2.若经甲方核查，在乙方承诺期届满时，乙方实际年均形成地方财力未达到《实施办法》第三条（一）项要求的，甲方有权提请土地主管部门解除建设用地使用权出让合同，建设用地使用权无偿收回，地上建（构）筑物采取残值方式补偿。</w:t>
      </w:r>
    </w:p>
    <w:p>
      <w:pPr>
        <w:overflowPunct w:val="0"/>
        <w:spacing w:line="620" w:lineRule="exact"/>
        <w:ind w:firstLine="624" w:firstLineChars="200"/>
        <w:rPr>
          <w:rFonts w:ascii="仿宋_GB2312"/>
          <w:szCs w:val="32"/>
        </w:rPr>
      </w:pPr>
      <w:r>
        <w:rPr>
          <w:rFonts w:hint="eastAsia" w:ascii="仿宋_GB2312"/>
          <w:szCs w:val="32"/>
        </w:rPr>
        <w:t>3.若经甲方核查，承诺期届满后，在任一土地出让年期考核阶段内，乙方实际年均形成地方财力未达到《实施办法》第三条（一）项要求的，甲方有权提请土地主管部门解除建设用地使用权出让合同，建设用地使用权无偿收回，其自用及未转让部分建筑采取残值方式补偿。</w:t>
      </w:r>
    </w:p>
    <w:p>
      <w:pPr>
        <w:overflowPunct w:val="0"/>
        <w:spacing w:line="620" w:lineRule="exact"/>
        <w:ind w:firstLine="624" w:firstLineChars="200"/>
        <w:rPr>
          <w:rFonts w:ascii="仿宋_GB2312"/>
          <w:color w:val="000000"/>
          <w:szCs w:val="32"/>
        </w:rPr>
      </w:pPr>
      <w:r>
        <w:rPr>
          <w:rFonts w:hint="eastAsia" w:ascii="仿宋_GB2312"/>
          <w:color w:val="000000"/>
          <w:szCs w:val="32"/>
        </w:rPr>
        <w:t>（六）违反权利限制的违约责任：</w:t>
      </w:r>
    </w:p>
    <w:p>
      <w:pPr>
        <w:overflowPunct w:val="0"/>
        <w:spacing w:line="620" w:lineRule="exact"/>
        <w:ind w:firstLine="624" w:firstLineChars="200"/>
        <w:rPr>
          <w:rFonts w:ascii="仿宋_GB2312"/>
          <w:color w:val="000000"/>
          <w:szCs w:val="32"/>
        </w:rPr>
      </w:pPr>
      <w:r>
        <w:rPr>
          <w:rFonts w:hint="eastAsia" w:ascii="仿宋_GB2312"/>
          <w:color w:val="000000"/>
          <w:szCs w:val="32"/>
        </w:rPr>
        <w:t>在土地出让年期内，经甲方核查，乙方、丙方未按本协议第三条（六）项约定或《管理办法》规定擅自转让或变更股权的，甲方有权要求乙方和丙方限期改正，同时乙方应按该地块土地成交价的5%向甲方缴纳违约金。限期内拒不改正的，甲方有权提请土地主管部门解除建设用地使用权出让合同，无偿收回土地使用权，地上建筑物及构筑物不予补偿。</w:t>
      </w:r>
    </w:p>
    <w:p>
      <w:pPr>
        <w:overflowPunct w:val="0"/>
        <w:spacing w:line="620" w:lineRule="exact"/>
        <w:ind w:firstLine="624" w:firstLineChars="200"/>
        <w:rPr>
          <w:rFonts w:ascii="Calibri" w:hAnsi="宋体" w:eastAsia="宋体" w:cs="仿宋_GB2312"/>
          <w:szCs w:val="32"/>
        </w:rPr>
      </w:pPr>
      <w:r>
        <w:rPr>
          <w:rFonts w:hint="eastAsia" w:ascii="仿宋_GB2312"/>
          <w:color w:val="000000"/>
          <w:szCs w:val="32"/>
        </w:rPr>
        <w:t>在土地出让年期内，经甲方核查，乙方未按本协议第三条（七）项约定或《管理办法》规定，违反抵押限制要求的，甲方有权要求乙方限期改正，同时乙方应按该地块土地成交价的5%向甲方缴纳违约金。拒不改正的，甲方有权提请土地主管部门解除建设用地使用权出让合同，无偿收回土地使用权，地上建筑物及构筑物不予补偿。</w:t>
      </w:r>
    </w:p>
    <w:p>
      <w:pPr>
        <w:overflowPunct w:val="0"/>
        <w:spacing w:line="620" w:lineRule="exact"/>
        <w:ind w:firstLine="624" w:firstLineChars="200"/>
        <w:rPr>
          <w:rFonts w:ascii="黑体" w:hAnsi="黑体" w:eastAsia="黑体" w:cs="仿宋_GB2312"/>
          <w:szCs w:val="32"/>
        </w:rPr>
      </w:pPr>
      <w:r>
        <w:rPr>
          <w:rFonts w:hint="eastAsia" w:ascii="黑体" w:hAnsi="黑体" w:eastAsia="黑体" w:cs="仿宋_GB2312"/>
          <w:szCs w:val="32"/>
        </w:rPr>
        <w:t>五、退出机制</w:t>
      </w:r>
    </w:p>
    <w:p>
      <w:pPr>
        <w:overflowPunct w:val="0"/>
        <w:spacing w:line="620" w:lineRule="exact"/>
        <w:ind w:firstLine="624" w:firstLineChars="200"/>
        <w:rPr>
          <w:rFonts w:ascii="仿宋_GB2312"/>
          <w:bCs/>
          <w:szCs w:val="32"/>
        </w:rPr>
      </w:pPr>
      <w:r>
        <w:rPr>
          <w:rFonts w:hint="eastAsia" w:ascii="仿宋_GB2312"/>
          <w:bCs/>
          <w:szCs w:val="32"/>
        </w:rPr>
        <w:t>（一）主动退出。乙方因自身原因终止项目投资建设，向建设用地使用权出让人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overflowPunct w:val="0"/>
        <w:spacing w:line="620" w:lineRule="exact"/>
        <w:ind w:firstLine="624" w:firstLineChars="200"/>
        <w:rPr>
          <w:rFonts w:ascii="仿宋_GB2312"/>
          <w:bCs/>
          <w:szCs w:val="32"/>
        </w:rPr>
      </w:pPr>
      <w:r>
        <w:rPr>
          <w:rFonts w:hint="eastAsia" w:ascii="仿宋_GB2312"/>
          <w:bCs/>
          <w:szCs w:val="32"/>
        </w:rPr>
        <w:t>1.超过建设用地使用权出让合同约定的开工建设日期但未满1年向出让人提出申请的，将剩余已付建设用地使用权出让价款退还建设用地使用权人；</w:t>
      </w:r>
    </w:p>
    <w:p>
      <w:pPr>
        <w:overflowPunct w:val="0"/>
        <w:spacing w:line="620" w:lineRule="exact"/>
        <w:ind w:firstLine="624" w:firstLineChars="200"/>
        <w:rPr>
          <w:rFonts w:ascii="仿宋_GB2312"/>
          <w:bCs/>
          <w:szCs w:val="32"/>
        </w:rPr>
      </w:pPr>
      <w:r>
        <w:rPr>
          <w:rFonts w:hint="eastAsia" w:ascii="仿宋_GB2312"/>
          <w:bCs/>
          <w:szCs w:val="32"/>
        </w:rPr>
        <w:t>2.超过建设用地使用权出让合同约定的开工建设日期1年但未满2年向出让人提出申请的，按照规定征收土地闲置费后，将剩余已付建设用地使用权出让价款退还建设用地使用权人。</w:t>
      </w:r>
    </w:p>
    <w:p>
      <w:pPr>
        <w:overflowPunct w:val="0"/>
        <w:spacing w:line="620" w:lineRule="exact"/>
        <w:ind w:firstLine="624" w:firstLineChars="200"/>
        <w:rPr>
          <w:rFonts w:ascii="仿宋_GB2312"/>
          <w:bCs/>
          <w:szCs w:val="32"/>
        </w:rPr>
      </w:pPr>
      <w:r>
        <w:rPr>
          <w:rFonts w:hint="eastAsia" w:ascii="仿宋_GB2312"/>
          <w:bCs/>
          <w:szCs w:val="32"/>
        </w:rPr>
        <w:t>报经原批准土地出让方案的人民政府后未获批准的，乙方应继续履行建设用地使用权出让合同；拒不履行的，建设用地使用权和地上建筑物、构筑物及其附属设施由政府无偿收回。</w:t>
      </w:r>
    </w:p>
    <w:p>
      <w:pPr>
        <w:overflowPunct w:val="0"/>
        <w:spacing w:line="620" w:lineRule="exact"/>
        <w:ind w:firstLine="624" w:firstLineChars="200"/>
        <w:rPr>
          <w:rFonts w:ascii="仿宋_GB2312"/>
          <w:bCs/>
          <w:szCs w:val="32"/>
        </w:rPr>
      </w:pPr>
      <w:r>
        <w:rPr>
          <w:rFonts w:hint="eastAsia" w:ascii="仿宋_GB2312"/>
          <w:bCs/>
          <w:szCs w:val="32"/>
        </w:rPr>
        <w:t>（二）强制退出。符合法律法规规定、建设用地使用权出让合同和本协议约定的甲方有权提请土地主管部门解除建设用地使用权出让合同情形的，乙方的建设用地使用权由政府无偿收回，地上建筑物及构筑物补偿方式应当在建设用地使用权出让合同中约定。</w:t>
      </w:r>
    </w:p>
    <w:p>
      <w:pPr>
        <w:overflowPunct w:val="0"/>
        <w:spacing w:line="620" w:lineRule="exact"/>
        <w:ind w:right="-49" w:rightChars="-16" w:firstLine="624" w:firstLineChars="200"/>
        <w:rPr>
          <w:rFonts w:ascii="黑体" w:eastAsia="黑体"/>
          <w:bCs/>
          <w:szCs w:val="32"/>
        </w:rPr>
      </w:pPr>
      <w:r>
        <w:rPr>
          <w:rFonts w:hint="eastAsia" w:ascii="黑体" w:eastAsia="黑体"/>
          <w:bCs/>
          <w:szCs w:val="32"/>
        </w:rPr>
        <w:t>六、其他事项</w:t>
      </w:r>
    </w:p>
    <w:p>
      <w:pPr>
        <w:overflowPunct w:val="0"/>
        <w:spacing w:line="620" w:lineRule="exact"/>
        <w:ind w:right="-49" w:rightChars="-16" w:firstLine="624" w:firstLineChars="200"/>
        <w:rPr>
          <w:rFonts w:ascii="仿宋_GB2312"/>
          <w:szCs w:val="32"/>
        </w:rPr>
      </w:pPr>
      <w:r>
        <w:rPr>
          <w:rFonts w:hint="eastAsia" w:ascii="仿宋_GB2312"/>
          <w:bCs/>
          <w:szCs w:val="32"/>
        </w:rPr>
        <w:t>（一）</w:t>
      </w:r>
      <w:r>
        <w:rPr>
          <w:rFonts w:hint="eastAsia" w:ascii="仿宋_GB2312"/>
          <w:szCs w:val="32"/>
        </w:rPr>
        <w:t>本协议履行过程中,对协议中部分名词含义的理解存在不同意见的，以甲方的解释为准。</w:t>
      </w:r>
    </w:p>
    <w:p>
      <w:pPr>
        <w:overflowPunct w:val="0"/>
        <w:spacing w:line="620" w:lineRule="exact"/>
        <w:ind w:right="-49" w:rightChars="-16" w:firstLine="624" w:firstLineChars="200"/>
        <w:rPr>
          <w:rFonts w:ascii="仿宋_GB2312"/>
          <w:szCs w:val="32"/>
        </w:rPr>
      </w:pPr>
      <w:r>
        <w:rPr>
          <w:rFonts w:hint="eastAsia" w:ascii="仿宋_GB2312"/>
          <w:szCs w:val="32"/>
        </w:rPr>
        <w:t>（二）本协议所称产值规模（营业收入）、形成地方财力的统计口径以乙方（含分支机构）及其控股50%（含）以上在本市注册的一级、二级子公司作为统计核算口径，各年度股权关系以当年12月31日股权登记状况为准。乙方的下属公司已取得总部用地或提出申请总部用地的，其下属公司在本市统计核算的产值规模（营业收入）和形成地方财力不再重复计入乙方的统计范围。</w:t>
      </w:r>
    </w:p>
    <w:p>
      <w:pPr>
        <w:overflowPunct w:val="0"/>
        <w:spacing w:line="620" w:lineRule="exact"/>
        <w:ind w:right="-49" w:rightChars="-16" w:firstLine="624" w:firstLineChars="200"/>
        <w:rPr>
          <w:rFonts w:ascii="仿宋_GB2312"/>
          <w:szCs w:val="32"/>
        </w:rPr>
      </w:pPr>
      <w:r>
        <w:rPr>
          <w:rFonts w:hint="eastAsia" w:ascii="仿宋_GB2312"/>
          <w:szCs w:val="32"/>
        </w:rPr>
        <w:t>（三）本协议所称形成地方财力是指企业在深圳市缴纳的税款入库期内，企业所得税、增值税、城市维护建设税、印花税、地方教育费附加、教育费附加、房产税、城镇土地使用税、文化事业建设费计入地方分成部分。</w:t>
      </w:r>
    </w:p>
    <w:p>
      <w:pPr>
        <w:overflowPunct w:val="0"/>
        <w:spacing w:line="620" w:lineRule="exact"/>
        <w:ind w:right="-49" w:rightChars="-16" w:firstLine="624" w:firstLineChars="200"/>
        <w:rPr>
          <w:rFonts w:ascii="仿宋_GB2312"/>
          <w:szCs w:val="32"/>
        </w:rPr>
      </w:pPr>
      <w:r>
        <w:rPr>
          <w:rFonts w:hint="eastAsia" w:ascii="仿宋_GB2312"/>
          <w:szCs w:val="32"/>
        </w:rPr>
        <w:t>（四）本协议所称产值规模（营业收入）、形成地方财力的统计数据以深圳市统计部门、税务主管部门提供的数据为准。</w:t>
      </w:r>
    </w:p>
    <w:p>
      <w:pPr>
        <w:overflowPunct w:val="0"/>
        <w:spacing w:line="620" w:lineRule="exact"/>
        <w:ind w:right="-49" w:rightChars="-16" w:firstLine="624" w:firstLineChars="200"/>
        <w:rPr>
          <w:rFonts w:ascii="黑体" w:eastAsia="黑体"/>
          <w:bCs/>
          <w:szCs w:val="32"/>
        </w:rPr>
      </w:pPr>
      <w:r>
        <w:rPr>
          <w:rFonts w:hint="eastAsia" w:ascii="黑体" w:eastAsia="黑体"/>
          <w:bCs/>
          <w:szCs w:val="32"/>
        </w:rPr>
        <w:t>七、争议解决方式</w:t>
      </w:r>
    </w:p>
    <w:p>
      <w:pPr>
        <w:overflowPunct w:val="0"/>
        <w:spacing w:line="620" w:lineRule="exact"/>
        <w:ind w:firstLine="624" w:firstLineChars="200"/>
        <w:rPr>
          <w:rFonts w:ascii="仿宋_GB2312"/>
          <w:szCs w:val="32"/>
        </w:rPr>
      </w:pPr>
      <w:r>
        <w:rPr>
          <w:rFonts w:hint="eastAsia" w:ascii="仿宋_GB2312"/>
          <w:szCs w:val="32"/>
        </w:rPr>
        <w:t>因履行本协议引起争议的，由三方协商解决；若协商不成，任何一方有权向该总部项目用地所在地人民法院提起诉讼。</w:t>
      </w:r>
    </w:p>
    <w:p>
      <w:pPr>
        <w:overflowPunct w:val="0"/>
        <w:spacing w:line="620" w:lineRule="exact"/>
        <w:ind w:right="-49" w:rightChars="-16" w:firstLine="624" w:firstLineChars="200"/>
        <w:rPr>
          <w:rFonts w:ascii="黑体" w:eastAsia="黑体"/>
          <w:szCs w:val="32"/>
        </w:rPr>
      </w:pPr>
      <w:r>
        <w:rPr>
          <w:rFonts w:hint="eastAsia" w:ascii="黑体" w:eastAsia="黑体"/>
          <w:bCs/>
          <w:szCs w:val="32"/>
        </w:rPr>
        <w:t>八、协议效力</w:t>
      </w:r>
    </w:p>
    <w:p>
      <w:pPr>
        <w:overflowPunct w:val="0"/>
        <w:spacing w:line="620" w:lineRule="exact"/>
        <w:ind w:firstLine="624" w:firstLineChars="200"/>
        <w:rPr>
          <w:rFonts w:ascii="仿宋_GB2312"/>
          <w:szCs w:val="32"/>
        </w:rPr>
      </w:pPr>
      <w:r>
        <w:rPr>
          <w:rFonts w:hint="eastAsia" w:ascii="仿宋_GB2312"/>
          <w:szCs w:val="32"/>
        </w:rPr>
        <w:t>（一）本协议书一式七份，具同等法律效力，甲方执二份，乙方执三份（分送土地主管部门一份），丙方执二份。</w:t>
      </w:r>
    </w:p>
    <w:p>
      <w:pPr>
        <w:overflowPunct w:val="0"/>
        <w:spacing w:line="620" w:lineRule="exact"/>
        <w:ind w:firstLine="624" w:firstLineChars="200"/>
        <w:rPr>
          <w:rFonts w:ascii="仿宋_GB2312"/>
          <w:szCs w:val="32"/>
        </w:rPr>
      </w:pPr>
      <w:r>
        <w:rPr>
          <w:rFonts w:hint="eastAsia" w:ascii="仿宋_GB2312"/>
          <w:szCs w:val="32"/>
        </w:rPr>
        <w:t>（二）本协议书自甲乙丙三方签字并盖章之日起生效。</w:t>
      </w:r>
    </w:p>
    <w:p>
      <w:pPr>
        <w:overflowPunct w:val="0"/>
        <w:spacing w:line="620" w:lineRule="exact"/>
        <w:ind w:firstLine="624" w:firstLineChars="200"/>
        <w:rPr>
          <w:rFonts w:ascii="仿宋_GB2312"/>
          <w:szCs w:val="32"/>
        </w:rPr>
        <w:sectPr>
          <w:pgSz w:w="11906" w:h="16838"/>
          <w:pgMar w:top="2098" w:right="1474" w:bottom="1985" w:left="1588" w:header="851" w:footer="1361" w:gutter="0"/>
          <w:cols w:space="425" w:num="1"/>
          <w:docGrid w:type="linesAndChars" w:linePitch="573" w:charSpace="-1843"/>
        </w:sectPr>
      </w:pPr>
      <w:r>
        <w:rPr>
          <w:rFonts w:hint="eastAsia" w:ascii="仿宋_GB2312"/>
          <w:szCs w:val="32"/>
        </w:rPr>
        <w:t>（三）本协议书未尽事宜，三方通过友好协商解决，可另行签订补充协议，补充协议与本协议书具有同等的法律效力。</w:t>
      </w:r>
    </w:p>
    <w:p>
      <w:pPr>
        <w:overflowPunct w:val="0"/>
        <w:spacing w:line="580" w:lineRule="exact"/>
        <w:ind w:firstLine="624" w:firstLineChars="200"/>
        <w:rPr>
          <w:rFonts w:ascii="仿宋_GB2312"/>
          <w:b/>
          <w:szCs w:val="32"/>
        </w:rPr>
      </w:pPr>
      <w:r>
        <w:rPr>
          <w:rFonts w:hint="eastAsia" w:ascii="仿宋_GB2312"/>
          <w:b/>
          <w:szCs w:val="32"/>
        </w:rPr>
        <w:t>（以下为签署页）</w:t>
      </w: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r>
        <w:rPr>
          <w:rFonts w:hint="eastAsia" w:ascii="仿宋_GB2312"/>
          <w:szCs w:val="32"/>
        </w:rPr>
        <w:t>甲方（公章）：</w:t>
      </w: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r>
        <w:rPr>
          <w:rFonts w:hint="eastAsia" w:ascii="仿宋_GB2312"/>
          <w:szCs w:val="32"/>
        </w:rPr>
        <w:t>法定代表人（或授权代表）</w:t>
      </w:r>
    </w:p>
    <w:p>
      <w:pPr>
        <w:overflowPunct w:val="0"/>
        <w:spacing w:line="580" w:lineRule="exact"/>
        <w:ind w:firstLine="624" w:firstLineChars="200"/>
        <w:rPr>
          <w:rFonts w:ascii="仿宋_GB2312"/>
          <w:szCs w:val="32"/>
        </w:rPr>
      </w:pPr>
      <w:r>
        <w:rPr>
          <w:rFonts w:hint="eastAsia" w:ascii="仿宋_GB2312"/>
          <w:szCs w:val="32"/>
        </w:rPr>
        <w:t>签字：</w:t>
      </w: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r>
        <w:rPr>
          <w:rFonts w:hint="eastAsia" w:ascii="仿宋_GB2312"/>
          <w:szCs w:val="32"/>
        </w:rPr>
        <w:t>乙方（公章）：</w:t>
      </w: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r>
        <w:rPr>
          <w:rFonts w:hint="eastAsia" w:ascii="仿宋_GB2312"/>
          <w:szCs w:val="32"/>
        </w:rPr>
        <w:t>法定代表人（或授权代表）</w:t>
      </w:r>
    </w:p>
    <w:p>
      <w:pPr>
        <w:overflowPunct w:val="0"/>
        <w:spacing w:line="580" w:lineRule="exact"/>
        <w:ind w:firstLine="624" w:firstLineChars="200"/>
        <w:rPr>
          <w:rFonts w:ascii="仿宋_GB2312"/>
          <w:szCs w:val="32"/>
        </w:rPr>
      </w:pPr>
      <w:r>
        <w:rPr>
          <w:rFonts w:hint="eastAsia" w:ascii="仿宋_GB2312"/>
          <w:szCs w:val="32"/>
        </w:rPr>
        <w:t>签字：</w:t>
      </w: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r>
        <w:rPr>
          <w:rFonts w:hint="eastAsia" w:ascii="仿宋_GB2312"/>
          <w:szCs w:val="32"/>
        </w:rPr>
        <w:t>丙方（公章）：</w:t>
      </w:r>
    </w:p>
    <w:p>
      <w:pPr>
        <w:overflowPunct w:val="0"/>
        <w:spacing w:line="580" w:lineRule="exact"/>
        <w:ind w:firstLine="624" w:firstLineChars="200"/>
        <w:rPr>
          <w:rFonts w:ascii="仿宋_GB2312"/>
          <w:szCs w:val="32"/>
        </w:rPr>
      </w:pPr>
    </w:p>
    <w:p>
      <w:pPr>
        <w:overflowPunct w:val="0"/>
        <w:spacing w:line="580" w:lineRule="exact"/>
        <w:ind w:firstLine="624" w:firstLineChars="200"/>
        <w:rPr>
          <w:rFonts w:ascii="仿宋_GB2312"/>
          <w:szCs w:val="32"/>
        </w:rPr>
      </w:pPr>
      <w:r>
        <w:rPr>
          <w:rFonts w:hint="eastAsia" w:ascii="仿宋_GB2312"/>
          <w:szCs w:val="32"/>
        </w:rPr>
        <w:t>法定代表人（或授权代表）</w:t>
      </w:r>
    </w:p>
    <w:p>
      <w:pPr>
        <w:overflowPunct w:val="0"/>
        <w:spacing w:line="580" w:lineRule="exact"/>
        <w:ind w:firstLine="624" w:firstLineChars="200"/>
        <w:rPr>
          <w:rFonts w:ascii="仿宋_GB2312"/>
          <w:szCs w:val="32"/>
        </w:rPr>
      </w:pPr>
      <w:r>
        <w:rPr>
          <w:rFonts w:hint="eastAsia" w:ascii="仿宋_GB2312"/>
          <w:szCs w:val="32"/>
        </w:rPr>
        <w:t>签字：</w:t>
      </w:r>
    </w:p>
    <w:p>
      <w:pPr>
        <w:overflowPunct w:val="0"/>
        <w:spacing w:line="580" w:lineRule="exact"/>
        <w:ind w:firstLine="624" w:firstLineChars="200"/>
        <w:rPr>
          <w:rFonts w:ascii="仿宋_GB2312"/>
          <w:szCs w:val="32"/>
        </w:rPr>
      </w:pPr>
    </w:p>
    <w:p>
      <w:pPr>
        <w:overflowPunct w:val="0"/>
        <w:spacing w:line="580" w:lineRule="exact"/>
        <w:ind w:firstLine="624" w:firstLineChars="200"/>
        <w:jc w:val="right"/>
        <w:rPr>
          <w:rFonts w:ascii="仿宋_GB2312"/>
          <w:szCs w:val="32"/>
        </w:rPr>
      </w:pPr>
      <w:r>
        <w:rPr>
          <w:rFonts w:hint="eastAsia" w:ascii="仿宋_GB2312"/>
          <w:szCs w:val="32"/>
        </w:rPr>
        <w:t>签订日期：   年   月  日</w:t>
      </w:r>
    </w:p>
    <w:p>
      <w:pPr>
        <w:overflowPunct w:val="0"/>
        <w:spacing w:line="580" w:lineRule="exact"/>
        <w:ind w:firstLine="4992" w:firstLineChars="1600"/>
        <w:jc w:val="left"/>
        <w:rPr>
          <w:rFonts w:hint="eastAsia" w:ascii="仿宋_GB2312" w:eastAsia="仿宋_GB2312"/>
          <w:szCs w:val="32"/>
          <w:lang w:eastAsia="zh-CN"/>
        </w:rPr>
        <w:sectPr>
          <w:pgSz w:w="11906" w:h="16838"/>
          <w:pgMar w:top="2098" w:right="1474" w:bottom="1985" w:left="1588" w:header="851" w:footer="1361" w:gutter="0"/>
          <w:cols w:space="425" w:num="1"/>
          <w:docGrid w:type="linesAndChars" w:linePitch="573" w:charSpace="-1843"/>
        </w:sectPr>
      </w:pPr>
      <w:r>
        <w:rPr>
          <w:rFonts w:hint="eastAsia" w:ascii="仿宋_GB2312"/>
          <w:szCs w:val="32"/>
        </w:rPr>
        <w:t>签订地点</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总部项目遴选及用地供应管理办法》（深府规〔2018〕1号）的规定，现就该方案及监管协议予以公示，公示时间5个工作日。公示期内如对上述方案及监管协议有意见和建议，请使用真实姓名及联系方式与深圳市工业和信息化局联系，逾期视为无异议。</w:t>
      </w: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联系人：谢先生</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联系电话：0755-88102542</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深圳市工业和信息化局</w:t>
      </w:r>
    </w:p>
    <w:p>
      <w:pPr>
        <w:keepNext w:val="0"/>
        <w:keepLines w:val="0"/>
        <w:pageBreakBefore w:val="0"/>
        <w:widowControl w:val="0"/>
        <w:kinsoku/>
        <w:wordWrap/>
        <w:overflowPunct/>
        <w:topLinePunct w:val="0"/>
        <w:autoSpaceDE/>
        <w:autoSpaceDN/>
        <w:bidi w:val="0"/>
        <w:adjustRightInd/>
        <w:snapToGrid w:val="0"/>
        <w:spacing w:line="560" w:lineRule="exact"/>
        <w:ind w:firstLine="5928" w:firstLineChars="1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2020年4月</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left="350" w:right="360"/>
      <w:jc w:val="right"/>
    </w:pPr>
    <w:r>
      <w:rPr>
        <w:rStyle w:val="19"/>
        <w:rFonts w:hint="eastAsia"/>
      </w:rPr>
      <w:t>－</w:t>
    </w:r>
    <w:r>
      <w:rPr>
        <w:rStyle w:val="19"/>
      </w:rPr>
      <w:fldChar w:fldCharType="begin"/>
    </w:r>
    <w:r>
      <w:rPr>
        <w:rStyle w:val="19"/>
      </w:rPr>
      <w:instrText xml:space="preserve"> PAGE </w:instrText>
    </w:r>
    <w:r>
      <w:rPr>
        <w:rStyle w:val="19"/>
      </w:rPr>
      <w:fldChar w:fldCharType="separate"/>
    </w:r>
    <w:r>
      <w:rPr>
        <w:rStyle w:val="19"/>
      </w:rPr>
      <w:t>25</w:t>
    </w:r>
    <w:r>
      <w:rPr>
        <w:rStyle w:val="19"/>
      </w:rPr>
      <w:fldChar w:fldCharType="end"/>
    </w:r>
    <w:r>
      <w:rPr>
        <w:rStyle w:val="19"/>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left="350" w:right="360"/>
    </w:pPr>
    <w:r>
      <w:rPr>
        <w:rStyle w:val="19"/>
        <w:rFonts w:hint="eastAsia"/>
      </w:rPr>
      <w:t>－</w:t>
    </w:r>
    <w:r>
      <w:rPr>
        <w:rStyle w:val="19"/>
      </w:rPr>
      <w:fldChar w:fldCharType="begin"/>
    </w:r>
    <w:r>
      <w:rPr>
        <w:rStyle w:val="19"/>
      </w:rPr>
      <w:instrText xml:space="preserve"> PAGE </w:instrText>
    </w:r>
    <w:r>
      <w:rPr>
        <w:rStyle w:val="19"/>
      </w:rPr>
      <w:fldChar w:fldCharType="separate"/>
    </w:r>
    <w:r>
      <w:rPr>
        <w:rStyle w:val="19"/>
      </w:rPr>
      <w:t>24</w:t>
    </w:r>
    <w:r>
      <w:rPr>
        <w:rStyle w:val="19"/>
      </w:rPr>
      <w:fldChar w:fldCharType="end"/>
    </w:r>
    <w:r>
      <w:rPr>
        <w:rStyle w:val="19"/>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311"/>
  <w:drawingGridVerticalSpacing w:val="57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0"/>
    <w:rsid w:val="00053E31"/>
    <w:rsid w:val="00054F43"/>
    <w:rsid w:val="00057017"/>
    <w:rsid w:val="00061068"/>
    <w:rsid w:val="000C06F2"/>
    <w:rsid w:val="000C5CB1"/>
    <w:rsid w:val="001028E8"/>
    <w:rsid w:val="00103E56"/>
    <w:rsid w:val="001052A5"/>
    <w:rsid w:val="001175C5"/>
    <w:rsid w:val="00117A6C"/>
    <w:rsid w:val="00117FA9"/>
    <w:rsid w:val="0013268F"/>
    <w:rsid w:val="001A2408"/>
    <w:rsid w:val="001A3569"/>
    <w:rsid w:val="001B05C9"/>
    <w:rsid w:val="001F0FB5"/>
    <w:rsid w:val="001F3A0C"/>
    <w:rsid w:val="0020480D"/>
    <w:rsid w:val="002162BE"/>
    <w:rsid w:val="00221002"/>
    <w:rsid w:val="00241C24"/>
    <w:rsid w:val="002715D8"/>
    <w:rsid w:val="00273724"/>
    <w:rsid w:val="00276A14"/>
    <w:rsid w:val="00277C5A"/>
    <w:rsid w:val="002A7B09"/>
    <w:rsid w:val="002C136D"/>
    <w:rsid w:val="002C6CC2"/>
    <w:rsid w:val="002E23D5"/>
    <w:rsid w:val="002F244F"/>
    <w:rsid w:val="0034341B"/>
    <w:rsid w:val="00343F2C"/>
    <w:rsid w:val="00365934"/>
    <w:rsid w:val="00372AD8"/>
    <w:rsid w:val="00373542"/>
    <w:rsid w:val="00386647"/>
    <w:rsid w:val="00397E4F"/>
    <w:rsid w:val="003A0962"/>
    <w:rsid w:val="003B243E"/>
    <w:rsid w:val="003F4B2F"/>
    <w:rsid w:val="004020EC"/>
    <w:rsid w:val="004028DB"/>
    <w:rsid w:val="0041447D"/>
    <w:rsid w:val="00425034"/>
    <w:rsid w:val="00451281"/>
    <w:rsid w:val="0045363C"/>
    <w:rsid w:val="00464C97"/>
    <w:rsid w:val="00497E55"/>
    <w:rsid w:val="004D1BA4"/>
    <w:rsid w:val="004D3345"/>
    <w:rsid w:val="004D587E"/>
    <w:rsid w:val="00517043"/>
    <w:rsid w:val="00533BD3"/>
    <w:rsid w:val="00550D2A"/>
    <w:rsid w:val="00553C77"/>
    <w:rsid w:val="005664D5"/>
    <w:rsid w:val="00580901"/>
    <w:rsid w:val="005939DE"/>
    <w:rsid w:val="005B0446"/>
    <w:rsid w:val="005B6C7C"/>
    <w:rsid w:val="005C05E4"/>
    <w:rsid w:val="005D241A"/>
    <w:rsid w:val="005E6B09"/>
    <w:rsid w:val="0062212F"/>
    <w:rsid w:val="00634B48"/>
    <w:rsid w:val="006548E0"/>
    <w:rsid w:val="00660B13"/>
    <w:rsid w:val="0067528A"/>
    <w:rsid w:val="00686BDC"/>
    <w:rsid w:val="006C31F4"/>
    <w:rsid w:val="006D22EB"/>
    <w:rsid w:val="006E7B79"/>
    <w:rsid w:val="00710DF2"/>
    <w:rsid w:val="0071339C"/>
    <w:rsid w:val="0071566C"/>
    <w:rsid w:val="0073432B"/>
    <w:rsid w:val="00765BE8"/>
    <w:rsid w:val="007764BF"/>
    <w:rsid w:val="00782E2C"/>
    <w:rsid w:val="008150AF"/>
    <w:rsid w:val="00825CC7"/>
    <w:rsid w:val="008372C2"/>
    <w:rsid w:val="00860A7E"/>
    <w:rsid w:val="0088512E"/>
    <w:rsid w:val="008941B4"/>
    <w:rsid w:val="008B7E6C"/>
    <w:rsid w:val="008C4507"/>
    <w:rsid w:val="008D6841"/>
    <w:rsid w:val="008F38B7"/>
    <w:rsid w:val="009065D5"/>
    <w:rsid w:val="00943D6F"/>
    <w:rsid w:val="009A0DFB"/>
    <w:rsid w:val="009F1DA5"/>
    <w:rsid w:val="009F6BFC"/>
    <w:rsid w:val="00A1722E"/>
    <w:rsid w:val="00A17986"/>
    <w:rsid w:val="00A3318E"/>
    <w:rsid w:val="00A40E76"/>
    <w:rsid w:val="00A4329A"/>
    <w:rsid w:val="00A44D0E"/>
    <w:rsid w:val="00A80290"/>
    <w:rsid w:val="00A91C4A"/>
    <w:rsid w:val="00A92504"/>
    <w:rsid w:val="00A96D6B"/>
    <w:rsid w:val="00AA70E6"/>
    <w:rsid w:val="00AE67CE"/>
    <w:rsid w:val="00B00A49"/>
    <w:rsid w:val="00B01C34"/>
    <w:rsid w:val="00B1330C"/>
    <w:rsid w:val="00B15F93"/>
    <w:rsid w:val="00B167E3"/>
    <w:rsid w:val="00B322D5"/>
    <w:rsid w:val="00B357ED"/>
    <w:rsid w:val="00B42B27"/>
    <w:rsid w:val="00B53DAD"/>
    <w:rsid w:val="00B728DD"/>
    <w:rsid w:val="00B829FF"/>
    <w:rsid w:val="00B83C4C"/>
    <w:rsid w:val="00B92365"/>
    <w:rsid w:val="00BA6C70"/>
    <w:rsid w:val="00BB01EA"/>
    <w:rsid w:val="00BC01D8"/>
    <w:rsid w:val="00BE6F00"/>
    <w:rsid w:val="00BF1400"/>
    <w:rsid w:val="00BF37BF"/>
    <w:rsid w:val="00BF4701"/>
    <w:rsid w:val="00C02E3E"/>
    <w:rsid w:val="00C10710"/>
    <w:rsid w:val="00C3580A"/>
    <w:rsid w:val="00C443C1"/>
    <w:rsid w:val="00C50D28"/>
    <w:rsid w:val="00C762F9"/>
    <w:rsid w:val="00C811A9"/>
    <w:rsid w:val="00C94B39"/>
    <w:rsid w:val="00C964CC"/>
    <w:rsid w:val="00CB4C5B"/>
    <w:rsid w:val="00CD555A"/>
    <w:rsid w:val="00D0488C"/>
    <w:rsid w:val="00D215B5"/>
    <w:rsid w:val="00D2730B"/>
    <w:rsid w:val="00D32F07"/>
    <w:rsid w:val="00D8363A"/>
    <w:rsid w:val="00D84E13"/>
    <w:rsid w:val="00D854D0"/>
    <w:rsid w:val="00DA0C73"/>
    <w:rsid w:val="00DA58F1"/>
    <w:rsid w:val="00DB1B8B"/>
    <w:rsid w:val="00DB1EBB"/>
    <w:rsid w:val="00DD71DF"/>
    <w:rsid w:val="00DF55D3"/>
    <w:rsid w:val="00E14D6B"/>
    <w:rsid w:val="00E4482E"/>
    <w:rsid w:val="00E52534"/>
    <w:rsid w:val="00E9561B"/>
    <w:rsid w:val="00EB6411"/>
    <w:rsid w:val="00EC5271"/>
    <w:rsid w:val="00EF1845"/>
    <w:rsid w:val="00F05343"/>
    <w:rsid w:val="00F1628E"/>
    <w:rsid w:val="00F569C1"/>
    <w:rsid w:val="00F70B3A"/>
    <w:rsid w:val="00F74DFF"/>
    <w:rsid w:val="00F77ECE"/>
    <w:rsid w:val="00F94739"/>
    <w:rsid w:val="00FA1460"/>
    <w:rsid w:val="00FC403B"/>
    <w:rsid w:val="00FC4F0E"/>
    <w:rsid w:val="00FD113B"/>
    <w:rsid w:val="00FE0EB0"/>
    <w:rsid w:val="00FE1E40"/>
    <w:rsid w:val="0FA977AE"/>
    <w:rsid w:val="10C3284C"/>
    <w:rsid w:val="21AC2784"/>
    <w:rsid w:val="53381E63"/>
    <w:rsid w:val="56EE5DC7"/>
    <w:rsid w:val="6B675A9C"/>
    <w:rsid w:val="7FEB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99"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vanish/>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文鼎小标宋简" w:eastAsia="文鼎小标宋简"/>
      <w:sz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6">
    <w:name w:val="List Bullet"/>
    <w:basedOn w:val="1"/>
    <w:uiPriority w:val="0"/>
    <w:pPr>
      <w:numPr>
        <w:ilvl w:val="0"/>
        <w:numId w:val="1"/>
      </w:numPr>
    </w:pPr>
    <w:rPr>
      <w:rFonts w:eastAsia="宋体"/>
      <w:sz w:val="21"/>
      <w:szCs w:val="24"/>
    </w:rPr>
  </w:style>
  <w:style w:type="paragraph" w:styleId="7">
    <w:name w:val="Document Map"/>
    <w:basedOn w:val="1"/>
    <w:link w:val="125"/>
    <w:unhideWhenUsed/>
    <w:qFormat/>
    <w:uiPriority w:val="0"/>
    <w:pPr>
      <w:shd w:val="clear" w:color="auto" w:fill="000080"/>
    </w:pPr>
    <w:rPr>
      <w:rFonts w:eastAsia="宋体"/>
      <w:sz w:val="21"/>
      <w:szCs w:val="24"/>
    </w:rPr>
  </w:style>
  <w:style w:type="paragraph" w:styleId="8">
    <w:name w:val="annotation text"/>
    <w:basedOn w:val="1"/>
    <w:link w:val="29"/>
    <w:semiHidden/>
    <w:unhideWhenUsed/>
    <w:uiPriority w:val="99"/>
    <w:pPr>
      <w:jc w:val="left"/>
    </w:pPr>
    <w:rPr>
      <w:rFonts w:eastAsia="宋体"/>
      <w:sz w:val="21"/>
      <w:szCs w:val="24"/>
    </w:rPr>
  </w:style>
  <w:style w:type="paragraph" w:styleId="9">
    <w:name w:val="Body Text"/>
    <w:basedOn w:val="1"/>
    <w:link w:val="32"/>
    <w:qFormat/>
    <w:uiPriority w:val="99"/>
    <w:pPr>
      <w:jc w:val="center"/>
    </w:pPr>
    <w:rPr>
      <w:rFonts w:ascii="黑体" w:eastAsia="黑体"/>
      <w:sz w:val="44"/>
      <w:szCs w:val="24"/>
    </w:rPr>
  </w:style>
  <w:style w:type="paragraph" w:styleId="10">
    <w:name w:val="Body Text Indent"/>
    <w:basedOn w:val="1"/>
    <w:link w:val="34"/>
    <w:uiPriority w:val="0"/>
    <w:pPr>
      <w:spacing w:after="120"/>
      <w:ind w:left="420" w:leftChars="200"/>
    </w:pPr>
  </w:style>
  <w:style w:type="paragraph" w:styleId="11">
    <w:name w:val="Date"/>
    <w:basedOn w:val="1"/>
    <w:next w:val="1"/>
    <w:link w:val="69"/>
    <w:uiPriority w:val="99"/>
  </w:style>
  <w:style w:type="paragraph" w:styleId="12">
    <w:name w:val="Balloon Text"/>
    <w:basedOn w:val="1"/>
    <w:link w:val="31"/>
    <w:semiHidden/>
    <w:unhideWhenUsed/>
    <w:uiPriority w:val="99"/>
    <w:rPr>
      <w:rFonts w:eastAsia="宋体"/>
      <w:sz w:val="18"/>
      <w:szCs w:val="18"/>
    </w:rPr>
  </w:style>
  <w:style w:type="paragraph" w:styleId="13">
    <w:name w:val="footer"/>
    <w:basedOn w:val="1"/>
    <w:link w:val="23"/>
    <w:qFormat/>
    <w:uiPriority w:val="99"/>
    <w:pPr>
      <w:tabs>
        <w:tab w:val="center" w:pos="4153"/>
        <w:tab w:val="right" w:pos="8306"/>
      </w:tabs>
      <w:snapToGrid w:val="0"/>
      <w:jc w:val="left"/>
    </w:pPr>
    <w:rPr>
      <w:sz w:val="18"/>
    </w:rPr>
  </w:style>
  <w:style w:type="paragraph" w:styleId="14">
    <w:name w:val="header"/>
    <w:basedOn w:val="1"/>
    <w:link w:val="26"/>
    <w:uiPriority w:val="99"/>
    <w:pPr>
      <w:pBdr>
        <w:bottom w:val="single" w:color="auto" w:sz="6" w:space="1"/>
      </w:pBdr>
      <w:tabs>
        <w:tab w:val="center" w:pos="4153"/>
        <w:tab w:val="right" w:pos="8306"/>
      </w:tabs>
      <w:snapToGrid w:val="0"/>
      <w:jc w:val="center"/>
    </w:pPr>
    <w:rPr>
      <w:sz w:val="18"/>
    </w:rPr>
  </w:style>
  <w:style w:type="paragraph" w:styleId="15">
    <w:name w:val="annotation subject"/>
    <w:basedOn w:val="8"/>
    <w:next w:val="8"/>
    <w:link w:val="30"/>
    <w:semiHidden/>
    <w:unhideWhenUsed/>
    <w:uiPriority w:val="99"/>
    <w:rPr>
      <w:b/>
      <w:bCs/>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eastAsia="宋体"/>
      <w:sz w:val="28"/>
    </w:rPr>
  </w:style>
  <w:style w:type="character" w:styleId="20">
    <w:name w:val="FollowedHyperlink"/>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页脚 Char"/>
    <w:link w:val="13"/>
    <w:semiHidden/>
    <w:qFormat/>
    <w:uiPriority w:val="99"/>
    <w:rPr>
      <w:rFonts w:eastAsia="仿宋_GB2312"/>
      <w:kern w:val="2"/>
      <w:sz w:val="18"/>
      <w:lang w:val="en-US" w:eastAsia="zh-CN" w:bidi="ar-SA"/>
    </w:rPr>
  </w:style>
  <w:style w:type="paragraph" w:customStyle="1" w:styleId="24">
    <w:name w:val="主题词"/>
    <w:basedOn w:val="1"/>
    <w:qFormat/>
    <w:uiPriority w:val="0"/>
    <w:pPr>
      <w:framePr w:wrap="notBeside" w:vAnchor="margin" w:hAnchor="margin" w:yAlign="bottom"/>
      <w:ind w:left="1246" w:hanging="1246"/>
    </w:pPr>
    <w:rPr>
      <w:rFonts w:eastAsia="文鼎小标宋简"/>
    </w:rPr>
  </w:style>
  <w:style w:type="paragraph" w:customStyle="1" w:styleId="25">
    <w:name w:val="附件"/>
    <w:basedOn w:val="1"/>
    <w:qFormat/>
    <w:uiPriority w:val="0"/>
    <w:pPr>
      <w:ind w:left="1638" w:hanging="1016"/>
    </w:pPr>
  </w:style>
  <w:style w:type="character" w:customStyle="1" w:styleId="26">
    <w:name w:val="页眉 Char"/>
    <w:link w:val="14"/>
    <w:semiHidden/>
    <w:qFormat/>
    <w:uiPriority w:val="99"/>
    <w:rPr>
      <w:rFonts w:eastAsia="仿宋_GB2312"/>
      <w:kern w:val="2"/>
      <w:sz w:val="18"/>
      <w:lang w:val="en-US" w:eastAsia="zh-CN" w:bidi="ar-SA"/>
    </w:rPr>
  </w:style>
  <w:style w:type="paragraph" w:customStyle="1" w:styleId="27">
    <w:name w:val="秘密紧急"/>
    <w:basedOn w:val="1"/>
    <w:qFormat/>
    <w:uiPriority w:val="0"/>
    <w:pPr>
      <w:jc w:val="right"/>
    </w:pPr>
    <w:rPr>
      <w:rFonts w:ascii="黑体" w:eastAsia="黑体"/>
    </w:rPr>
  </w:style>
  <w:style w:type="paragraph" w:customStyle="1" w:styleId="28">
    <w:name w:val="抄 送"/>
    <w:basedOn w:val="24"/>
    <w:qFormat/>
    <w:uiPriority w:val="0"/>
    <w:pPr>
      <w:ind w:left="0" w:firstLine="0"/>
    </w:pPr>
    <w:rPr>
      <w:rFonts w:eastAsia="仿宋_GB2312"/>
    </w:rPr>
  </w:style>
  <w:style w:type="character" w:customStyle="1" w:styleId="29">
    <w:name w:val="批注文字 Char"/>
    <w:link w:val="8"/>
    <w:semiHidden/>
    <w:qFormat/>
    <w:uiPriority w:val="99"/>
    <w:rPr>
      <w:rFonts w:eastAsia="宋体"/>
      <w:kern w:val="2"/>
      <w:sz w:val="21"/>
      <w:szCs w:val="24"/>
      <w:lang w:val="en-US" w:eastAsia="zh-CN" w:bidi="ar-SA"/>
    </w:rPr>
  </w:style>
  <w:style w:type="character" w:customStyle="1" w:styleId="30">
    <w:name w:val="批注主题 Char"/>
    <w:link w:val="15"/>
    <w:semiHidden/>
    <w:qFormat/>
    <w:uiPriority w:val="99"/>
    <w:rPr>
      <w:rFonts w:eastAsia="宋体"/>
      <w:b/>
      <w:bCs/>
      <w:kern w:val="2"/>
      <w:sz w:val="21"/>
      <w:szCs w:val="24"/>
      <w:lang w:val="en-US" w:eastAsia="zh-CN" w:bidi="ar-SA"/>
    </w:rPr>
  </w:style>
  <w:style w:type="character" w:customStyle="1" w:styleId="31">
    <w:name w:val="批注框文本 Char"/>
    <w:link w:val="12"/>
    <w:semiHidden/>
    <w:qFormat/>
    <w:uiPriority w:val="99"/>
    <w:rPr>
      <w:rFonts w:eastAsia="宋体"/>
      <w:kern w:val="2"/>
      <w:sz w:val="18"/>
      <w:szCs w:val="18"/>
      <w:lang w:val="en-US" w:eastAsia="zh-CN" w:bidi="ar-SA"/>
    </w:rPr>
  </w:style>
  <w:style w:type="character" w:customStyle="1" w:styleId="32">
    <w:name w:val="正文文本 Char"/>
    <w:link w:val="9"/>
    <w:qFormat/>
    <w:locked/>
    <w:uiPriority w:val="99"/>
    <w:rPr>
      <w:rFonts w:ascii="黑体" w:eastAsia="黑体"/>
      <w:kern w:val="2"/>
      <w:sz w:val="44"/>
      <w:szCs w:val="24"/>
      <w:lang w:val="en-US" w:eastAsia="zh-CN" w:bidi="ar-SA"/>
    </w:rPr>
  </w:style>
  <w:style w:type="paragraph" w:customStyle="1" w:styleId="33">
    <w:name w:val="样式 仿宋_GB2312 三号"/>
    <w:basedOn w:val="1"/>
    <w:qFormat/>
    <w:uiPriority w:val="0"/>
    <w:pPr>
      <w:spacing w:line="540" w:lineRule="exact"/>
      <w:ind w:firstLine="200" w:firstLineChars="200"/>
    </w:pPr>
    <w:rPr>
      <w:rFonts w:ascii="仿宋_GB2312" w:hAnsi="仿宋_GB2312" w:cs="宋体"/>
    </w:rPr>
  </w:style>
  <w:style w:type="character" w:customStyle="1" w:styleId="34">
    <w:name w:val="正文文本缩进 Char"/>
    <w:link w:val="10"/>
    <w:qFormat/>
    <w:uiPriority w:val="0"/>
    <w:rPr>
      <w:rFonts w:eastAsia="仿宋_GB2312"/>
      <w:kern w:val="2"/>
      <w:sz w:val="32"/>
    </w:rPr>
  </w:style>
  <w:style w:type="paragraph" w:customStyle="1" w:styleId="35">
    <w:name w:val="首行缩进:  2 字符 + 首行缩进:  2 字符"/>
    <w:basedOn w:val="1"/>
    <w:qFormat/>
    <w:uiPriority w:val="0"/>
    <w:pPr>
      <w:spacing w:line="560" w:lineRule="exact"/>
      <w:ind w:firstLine="200" w:firstLineChars="200"/>
    </w:pPr>
    <w:rPr>
      <w:rFonts w:cs="宋体"/>
    </w:rPr>
  </w:style>
  <w:style w:type="paragraph" w:customStyle="1" w:styleId="36">
    <w:name w:val="首行缩进2字符"/>
    <w:basedOn w:val="1"/>
    <w:qFormat/>
    <w:uiPriority w:val="0"/>
    <w:pPr>
      <w:spacing w:line="560" w:lineRule="exact"/>
      <w:ind w:firstLine="200" w:firstLineChars="200"/>
    </w:pPr>
    <w:rPr>
      <w:rFonts w:ascii="仿宋_GB2312" w:hAnsi="仿宋_GB2312"/>
    </w:r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font7"/>
    <w:basedOn w:val="1"/>
    <w:qFormat/>
    <w:uiPriority w:val="0"/>
    <w:pPr>
      <w:widowControl/>
      <w:spacing w:before="100" w:beforeAutospacing="1" w:after="100" w:afterAutospacing="1"/>
      <w:jc w:val="left"/>
    </w:pPr>
    <w:rPr>
      <w:rFonts w:eastAsia="宋体"/>
      <w:kern w:val="0"/>
      <w:sz w:val="20"/>
    </w:rPr>
  </w:style>
  <w:style w:type="paragraph" w:customStyle="1" w:styleId="40">
    <w:name w:val="xl1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1">
    <w:name w:val="xl1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2">
    <w:name w:val="xl1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3">
    <w:name w:val="xl1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4">
    <w:name w:val="xl125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5">
    <w:name w:val="xl1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46">
    <w:name w:val="xl125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7">
    <w:name w:val="xl1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48">
    <w:name w:val="xl1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9">
    <w:name w:val="xl12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l1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1">
    <w:name w:val="xl125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1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53">
    <w:name w:val="xl1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4">
    <w:name w:val="xl1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cs="宋体"/>
      <w:kern w:val="0"/>
      <w:sz w:val="24"/>
      <w:szCs w:val="24"/>
    </w:rPr>
  </w:style>
  <w:style w:type="paragraph" w:customStyle="1" w:styleId="55">
    <w:name w:val="xl1262"/>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56">
    <w:name w:val="xl1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7">
    <w:name w:val="xl1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58">
    <w:name w:val="xl1265"/>
    <w:basedOn w:val="1"/>
    <w:qFormat/>
    <w:uiPriority w:val="0"/>
    <w:pPr>
      <w:widowControl/>
      <w:spacing w:before="100" w:beforeAutospacing="1" w:after="100" w:afterAutospacing="1"/>
      <w:jc w:val="center"/>
    </w:pPr>
    <w:rPr>
      <w:rFonts w:ascii="仿宋_GB2312" w:hAnsi="宋体" w:cs="宋体"/>
      <w:kern w:val="0"/>
      <w:sz w:val="24"/>
      <w:szCs w:val="24"/>
    </w:rPr>
  </w:style>
  <w:style w:type="paragraph" w:customStyle="1" w:styleId="59">
    <w:name w:val="xl1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12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61">
    <w:name w:val="xl1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2">
    <w:name w:val="xl1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63">
    <w:name w:val="xl12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4">
    <w:name w:val="xl12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65">
    <w:name w:val="xl1272"/>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66">
    <w:name w:val="xl12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7">
    <w:name w:val="xl1274"/>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8">
    <w:name w:val="xl12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character" w:customStyle="1" w:styleId="69">
    <w:name w:val="日期 Char"/>
    <w:link w:val="11"/>
    <w:qFormat/>
    <w:uiPriority w:val="99"/>
    <w:rPr>
      <w:rFonts w:eastAsia="仿宋_GB2312"/>
      <w:kern w:val="2"/>
      <w:sz w:val="32"/>
    </w:rPr>
  </w:style>
  <w:style w:type="paragraph" w:customStyle="1" w:styleId="70">
    <w:name w:val="xl1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1">
    <w:name w:val="xl1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FF0000"/>
      <w:kern w:val="0"/>
      <w:sz w:val="24"/>
      <w:szCs w:val="24"/>
    </w:rPr>
  </w:style>
  <w:style w:type="paragraph" w:customStyle="1" w:styleId="72">
    <w:name w:val="xl127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73">
    <w:name w:val="xl1279"/>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74">
    <w:name w:val="xl12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5">
    <w:name w:val="xl1281"/>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6">
    <w:name w:val="xl12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7">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78">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86">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7">
    <w:name w:val="xl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89">
    <w:name w:val="xl8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xl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4">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9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9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9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10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6">
    <w:name w:val="xl101"/>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07">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108">
    <w:name w:val="xl103"/>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10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114">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6">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7">
    <w:name w:val="xl112"/>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8">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9">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0">
    <w:name w:val="xl115"/>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2">
    <w:name w:val="xl117"/>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3">
    <w:name w:val="xl118"/>
    <w:basedOn w:val="1"/>
    <w:qFormat/>
    <w:uiPriority w:val="0"/>
    <w:pPr>
      <w:widowControl/>
      <w:pBdr>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4">
    <w:name w:val="xl119"/>
    <w:basedOn w:val="1"/>
    <w:uiPriority w:val="0"/>
    <w:pPr>
      <w:widowControl/>
      <w:pBdr>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character" w:customStyle="1" w:styleId="125">
    <w:name w:val="文档结构图 Char"/>
    <w:link w:val="7"/>
    <w:qFormat/>
    <w:uiPriority w:val="0"/>
    <w:rPr>
      <w:kern w:val="2"/>
      <w:sz w:val="21"/>
      <w:szCs w:val="24"/>
      <w:shd w:val="clear" w:color="auto" w:fill="000080"/>
    </w:rPr>
  </w:style>
  <w:style w:type="paragraph" w:customStyle="1" w:styleId="126">
    <w:name w:val="font8"/>
    <w:basedOn w:val="1"/>
    <w:qFormat/>
    <w:uiPriority w:val="0"/>
    <w:pPr>
      <w:widowControl/>
      <w:spacing w:before="100" w:beforeAutospacing="1" w:after="100" w:afterAutospacing="1"/>
      <w:jc w:val="left"/>
    </w:pPr>
    <w:rPr>
      <w:rFonts w:eastAsia="宋体"/>
      <w:kern w:val="0"/>
      <w:sz w:val="24"/>
      <w:szCs w:val="24"/>
    </w:rPr>
  </w:style>
  <w:style w:type="paragraph" w:customStyle="1" w:styleId="127">
    <w:name w:val="font9"/>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28">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11"/>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30">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132">
    <w:name w:val="Char1"/>
    <w:basedOn w:val="1"/>
    <w:qFormat/>
    <w:uiPriority w:val="0"/>
    <w:pPr>
      <w:widowControl/>
      <w:spacing w:after="160" w:line="240" w:lineRule="exact"/>
      <w:jc w:val="left"/>
    </w:pPr>
  </w:style>
  <w:style w:type="paragraph" w:customStyle="1" w:styleId="133">
    <w:name w:val="xl1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34">
    <w:name w:val="_Style 122"/>
    <w:basedOn w:val="1"/>
    <w:next w:val="1"/>
    <w:unhideWhenUsed/>
    <w:qFormat/>
    <w:uiPriority w:val="39"/>
    <w:pPr>
      <w:widowControl/>
      <w:tabs>
        <w:tab w:val="right" w:leader="dot" w:pos="8844"/>
      </w:tabs>
      <w:spacing w:after="100" w:line="276" w:lineRule="auto"/>
      <w:jc w:val="left"/>
    </w:pPr>
    <w:rPr>
      <w:rFonts w:ascii="仿宋_GB2312" w:hAnsi="宋体"/>
      <w:b/>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2269;&#26631;&#20844;&#25991;&#27169;&#26495;\A2%20&#20844;&#25991;_&#26222;&#36890;_&#26080;&#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532C6-288F-4511-B70E-439F146DB3D2}">
  <ds:schemaRefs/>
</ds:datastoreItem>
</file>

<file path=docProps/app.xml><?xml version="1.0" encoding="utf-8"?>
<Properties xmlns="http://schemas.openxmlformats.org/officeDocument/2006/extended-properties" xmlns:vt="http://schemas.openxmlformats.org/officeDocument/2006/docPropsVTypes">
  <Template>A2 公文_普通_无红头</Template>
  <Pages>25</Pages>
  <Words>1462</Words>
  <Characters>8336</Characters>
  <Lines>69</Lines>
  <Paragraphs>19</Paragraphs>
  <TotalTime>28</TotalTime>
  <ScaleCrop>false</ScaleCrop>
  <LinksUpToDate>false</LinksUpToDate>
  <CharactersWithSpaces>9779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2020-04-08T08:28:00Z</dcterms:created>
  <dc:creator>汤靖</dc:creator>
  <cp:lastModifiedBy>夏</cp:lastModifiedBy>
  <cp:lastPrinted>2019-05-28T03:16:00Z</cp:lastPrinted>
  <dcterms:modified xsi:type="dcterms:W3CDTF">2020-04-23T13:50:37Z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