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E271BD" w:rsidP="00E271BD">
      <w:pPr>
        <w:pStyle w:val="a"/>
        <w:ind w:left="1043" w:hanging="1043"/>
        <w:rPr>
          <w:rFonts w:hint="eastAsia"/>
        </w:rPr>
      </w:pPr>
      <w:r>
        <w:rPr>
          <w:rFonts w:hint="eastAsia"/>
        </w:rPr>
        <w:t>附件</w:t>
      </w:r>
    </w:p>
    <w:p w:rsidR="00E271BD" w:rsidP="00E271BD">
      <w:pPr>
        <w:pStyle w:val="a"/>
        <w:ind w:left="1043" w:hanging="1043"/>
        <w:rPr>
          <w:rFonts w:hint="eastAsia"/>
        </w:rPr>
      </w:pPr>
    </w:p>
    <w:p w:rsidR="00E271BD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年度深圳市工信领域能效</w:t>
      </w:r>
      <w:bookmarkStart w:id="0" w:name="_Hlk85185447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（水效）</w:t>
      </w:r>
      <w:bookmarkEnd w:id="0"/>
    </w:p>
    <w:p w:rsidR="002700E7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对标工作方案</w:t>
      </w:r>
    </w:p>
    <w:p w:rsidR="002700E7">
      <w:pPr>
        <w:pStyle w:val="BodyText"/>
      </w:pP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根据国家、省、市能效（水效）对标行动部署要求，加强重点行业和企业能效（水效）检测，推动开展我市工信领域能效（水效）对标工作，特制定本方案。</w:t>
      </w:r>
    </w:p>
    <w:p w:rsidR="002700E7">
      <w:pPr>
        <w:spacing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一、工作依据</w:t>
      </w: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《工业节能管理办法》第三十六条：重点用能企业应当开展能效水平对标达标活动。</w:t>
      </w: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/>
          <w:sz w:val="32"/>
          <w:szCs w:val="32"/>
        </w:rPr>
        <w:t>广东省工业和信息化厅关于进一步推动重点行业</w:t>
      </w:r>
      <w:bookmarkStart w:id="1" w:name="_Hlk80853182"/>
      <w:r>
        <w:rPr>
          <w:rFonts w:ascii="仿宋_GB2312" w:eastAsia="仿宋_GB2312"/>
          <w:sz w:val="32"/>
          <w:szCs w:val="32"/>
        </w:rPr>
        <w:t>能效（水效）</w:t>
      </w:r>
      <w:bookmarkEnd w:id="1"/>
      <w:r>
        <w:rPr>
          <w:rFonts w:ascii="仿宋_GB2312" w:eastAsia="仿宋_GB2312"/>
          <w:sz w:val="32"/>
          <w:szCs w:val="32"/>
        </w:rPr>
        <w:t>对标工作的通知</w:t>
      </w:r>
      <w:r>
        <w:rPr>
          <w:rFonts w:ascii="仿宋_GB2312" w:eastAsia="仿宋_GB2312" w:hint="eastAsia"/>
          <w:sz w:val="32"/>
          <w:szCs w:val="32"/>
        </w:rPr>
        <w:t>》（</w:t>
      </w:r>
      <w:r>
        <w:rPr>
          <w:rFonts w:ascii="仿宋_GB2312" w:eastAsia="仿宋_GB2312"/>
          <w:sz w:val="32"/>
          <w:szCs w:val="32"/>
        </w:rPr>
        <w:t>粤工信节能函〔</w:t>
      </w:r>
      <w:r>
        <w:rPr>
          <w:rFonts w:ascii="仿宋_GB2312" w:eastAsia="仿宋_GB2312"/>
          <w:sz w:val="32"/>
          <w:szCs w:val="32"/>
        </w:rPr>
        <w:t>2021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26</w:t>
      </w:r>
      <w:r>
        <w:rPr>
          <w:rFonts w:ascii="仿宋_GB2312" w:eastAsia="仿宋_GB2312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2700E7">
      <w:pPr>
        <w:spacing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二、工作内容</w:t>
      </w:r>
    </w:p>
    <w:p w:rsidR="002700E7">
      <w:pPr>
        <w:spacing w:line="56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（一）能效对标</w:t>
      </w:r>
    </w:p>
    <w:p w:rsidR="002700E7" w:rsidP="00E271B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工作目标：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年全市完成不少于</w:t>
      </w:r>
      <w:r>
        <w:rPr>
          <w:rFonts w:ascii="仿宋_GB2312" w:eastAsia="仿宋_GB2312" w:hint="eastAsia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家企业能效对标，任务目标按区分解下达（附件</w:t>
      </w:r>
      <w:r>
        <w:rPr>
          <w:rFonts w:ascii="仿宋_GB2312" w:eastAsia="仿宋_GB2312"/>
          <w:sz w:val="32"/>
          <w:szCs w:val="32"/>
        </w:rPr>
        <w:t>1.1</w:t>
      </w:r>
      <w:r>
        <w:rPr>
          <w:rFonts w:ascii="仿宋_GB2312" w:eastAsia="仿宋_GB2312" w:hint="eastAsia"/>
          <w:sz w:val="32"/>
          <w:szCs w:val="32"/>
        </w:rPr>
        <w:t>）。通过对标活动的开展，促使企业能效水平达到或接近同行业国内领先水平。</w:t>
      </w:r>
    </w:p>
    <w:p w:rsidR="002700E7" w:rsidP="00E271B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实施对象：</w:t>
      </w:r>
      <w:r>
        <w:rPr>
          <w:rFonts w:ascii="仿宋_GB2312" w:eastAsia="仿宋_GB2312" w:hint="eastAsia"/>
          <w:sz w:val="32"/>
          <w:szCs w:val="32"/>
        </w:rPr>
        <w:t>综合能源消费</w:t>
      </w:r>
      <w:r>
        <w:rPr>
          <w:rFonts w:ascii="仿宋_GB2312" w:eastAsia="仿宋_GB2312" w:hint="eastAsia"/>
          <w:sz w:val="32"/>
          <w:szCs w:val="32"/>
        </w:rPr>
        <w:t>3000</w:t>
      </w:r>
      <w:r>
        <w:rPr>
          <w:rFonts w:ascii="仿宋_GB2312" w:eastAsia="仿宋_GB2312" w:hint="eastAsia"/>
          <w:sz w:val="32"/>
          <w:szCs w:val="32"/>
        </w:rPr>
        <w:t>吨标煤以上（含</w:t>
      </w:r>
      <w:r>
        <w:rPr>
          <w:rFonts w:ascii="仿宋_GB2312" w:eastAsia="仿宋_GB2312" w:hint="eastAsia"/>
          <w:sz w:val="32"/>
          <w:szCs w:val="32"/>
        </w:rPr>
        <w:t>3000</w:t>
      </w:r>
      <w:r>
        <w:rPr>
          <w:rFonts w:ascii="仿宋_GB2312" w:eastAsia="仿宋_GB2312" w:hint="eastAsia"/>
          <w:sz w:val="32"/>
          <w:szCs w:val="32"/>
        </w:rPr>
        <w:t>吨）的工信领域企业，名单参考《市工业和信息化局关于公布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年度我市工信领域重点用能单位和高耗能企业名单》和重点数据中心名单，鼓励非重点用能单位参照执行。</w:t>
      </w:r>
    </w:p>
    <w:p w:rsidR="002700E7" w:rsidP="00E271B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对标内容：</w:t>
      </w:r>
      <w:r>
        <w:rPr>
          <w:rFonts w:ascii="仿宋_GB2312" w:eastAsia="仿宋_GB2312" w:hint="eastAsia"/>
          <w:sz w:val="32"/>
          <w:szCs w:val="32"/>
        </w:rPr>
        <w:t>各重点用能单位要对自身能源利用状况进行深入分析，结合</w:t>
      </w:r>
      <w:r>
        <w:rPr>
          <w:rFonts w:ascii="仿宋_GB2312" w:eastAsia="仿宋_GB2312"/>
          <w:sz w:val="32"/>
          <w:szCs w:val="32"/>
        </w:rPr>
        <w:t>节能</w:t>
      </w:r>
      <w:r>
        <w:rPr>
          <w:rFonts w:ascii="仿宋_GB2312" w:eastAsia="仿宋_GB2312" w:hint="eastAsia"/>
          <w:sz w:val="32"/>
          <w:szCs w:val="32"/>
        </w:rPr>
        <w:t>诊断</w:t>
      </w:r>
      <w:r>
        <w:rPr>
          <w:rFonts w:ascii="仿宋_GB2312" w:eastAsia="仿宋_GB2312"/>
          <w:sz w:val="32"/>
          <w:szCs w:val="32"/>
        </w:rPr>
        <w:t>、能源审计等</w:t>
      </w:r>
      <w:r>
        <w:rPr>
          <w:rFonts w:ascii="仿宋_GB2312" w:eastAsia="仿宋_GB2312" w:hint="eastAsia"/>
          <w:sz w:val="32"/>
          <w:szCs w:val="32"/>
        </w:rPr>
        <w:t>工作，摸清能耗现状，确定参</w:t>
      </w:r>
      <w:r>
        <w:rPr>
          <w:rFonts w:ascii="仿宋_GB2312" w:eastAsia="仿宋_GB2312" w:hint="eastAsia"/>
          <w:sz w:val="32"/>
          <w:szCs w:val="32"/>
        </w:rPr>
        <w:t>与对标的产品单耗或工序能耗，并参考《全国工业能效指南》、《广州市产业能效指南》或现行的国家或行业、团体单位产品能源消耗限额</w:t>
      </w:r>
      <w:r>
        <w:rPr>
          <w:rFonts w:ascii="仿宋_GB2312" w:eastAsia="仿宋_GB2312" w:hint="eastAsia"/>
          <w:sz w:val="32"/>
          <w:szCs w:val="32"/>
        </w:rPr>
        <w:t>标准等，选取若干标杆，查找自身差距和节能潜力，并编制企业《能效对标分析报告》。</w:t>
      </w:r>
    </w:p>
    <w:p w:rsidR="002700E7">
      <w:pPr>
        <w:spacing w:line="56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（二）水效对标</w:t>
      </w:r>
    </w:p>
    <w:p w:rsidR="002700E7" w:rsidP="00E271BD">
      <w:pPr>
        <w:pStyle w:val="BodyText"/>
        <w:spacing w:line="560" w:lineRule="exact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 w:hint="eastAsia"/>
          <w:b/>
          <w:bCs/>
          <w:szCs w:val="32"/>
        </w:rPr>
        <w:t>工作目标：</w:t>
      </w:r>
      <w:r>
        <w:rPr>
          <w:rFonts w:ascii="仿宋_GB2312" w:eastAsia="仿宋_GB2312" w:hint="eastAsia"/>
          <w:szCs w:val="32"/>
        </w:rPr>
        <w:t xml:space="preserve"> 20</w:t>
      </w:r>
      <w:r>
        <w:rPr>
          <w:rFonts w:ascii="仿宋_GB2312" w:eastAsia="仿宋_GB2312"/>
          <w:szCs w:val="32"/>
        </w:rPr>
        <w:t>21</w:t>
      </w:r>
      <w:r>
        <w:rPr>
          <w:rFonts w:ascii="仿宋_GB2312" w:eastAsia="仿宋_GB2312" w:hint="eastAsia"/>
          <w:szCs w:val="32"/>
        </w:rPr>
        <w:t>年全市完成不少于</w:t>
      </w:r>
      <w:r>
        <w:rPr>
          <w:rFonts w:ascii="仿宋_GB2312" w:eastAsia="仿宋_GB2312" w:hint="eastAsia"/>
          <w:szCs w:val="32"/>
        </w:rPr>
        <w:t>20</w:t>
      </w:r>
      <w:r>
        <w:rPr>
          <w:rFonts w:ascii="仿宋_GB2312" w:eastAsia="仿宋_GB2312" w:hint="eastAsia"/>
          <w:szCs w:val="32"/>
        </w:rPr>
        <w:t>家企业水效对标，任务目标按区分解下达（附件</w:t>
      </w:r>
      <w:r>
        <w:rPr>
          <w:rFonts w:ascii="仿宋_GB2312" w:eastAsia="仿宋_GB2312"/>
          <w:szCs w:val="32"/>
        </w:rPr>
        <w:t>1.1</w:t>
      </w:r>
      <w:r>
        <w:rPr>
          <w:rFonts w:ascii="仿宋_GB2312" w:eastAsia="仿宋_GB2312" w:hint="eastAsia"/>
          <w:szCs w:val="32"/>
        </w:rPr>
        <w:t>），推动年用水量</w:t>
      </w:r>
      <w:r>
        <w:rPr>
          <w:rFonts w:ascii="仿宋_GB2312" w:eastAsia="仿宋_GB2312" w:hint="eastAsia"/>
          <w:szCs w:val="32"/>
        </w:rPr>
        <w:t>10</w:t>
      </w:r>
      <w:r>
        <w:rPr>
          <w:rFonts w:ascii="仿宋_GB2312" w:eastAsia="仿宋_GB2312" w:hint="eastAsia"/>
          <w:szCs w:val="32"/>
        </w:rPr>
        <w:t>万立方米以上工业企业开展节水诊断和技术改造。</w:t>
      </w:r>
    </w:p>
    <w:p w:rsidR="002700E7" w:rsidP="00E271B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实施对象：</w:t>
      </w:r>
      <w:r>
        <w:rPr>
          <w:rFonts w:ascii="仿宋_GB2312" w:eastAsia="仿宋_GB2312" w:hint="eastAsia"/>
          <w:sz w:val="32"/>
          <w:szCs w:val="32"/>
        </w:rPr>
        <w:t>全市年用水量超过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万立方米的工业企业（附件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.4</w:t>
      </w:r>
      <w:r>
        <w:rPr>
          <w:rFonts w:ascii="仿宋_GB2312" w:eastAsia="仿宋_GB2312" w:hint="eastAsia"/>
          <w:sz w:val="32"/>
          <w:szCs w:val="32"/>
        </w:rPr>
        <w:t>），鼓励非重点用水企业参照执行。</w:t>
      </w:r>
    </w:p>
    <w:p w:rsidR="002700E7" w:rsidP="00E271B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对标内容：</w:t>
      </w:r>
      <w:r>
        <w:rPr>
          <w:rFonts w:ascii="仿宋_GB2312" w:eastAsia="仿宋_GB2312" w:hint="eastAsia"/>
          <w:sz w:val="32"/>
          <w:szCs w:val="32"/>
        </w:rPr>
        <w:t>各重点用水企业结合节水诊断、水平衡等工作，梳理主要用水工序、用水设备的取用水情况和近三年单位产品取水量及水效指标，并参考广东省地方标准《用水定额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部分：工业》（</w:t>
      </w:r>
      <w:r>
        <w:rPr>
          <w:rFonts w:ascii="仿宋_GB2312" w:eastAsia="仿宋_GB2312" w:hint="eastAsia"/>
          <w:sz w:val="32"/>
          <w:szCs w:val="32"/>
        </w:rPr>
        <w:t>DB44/T 1461.2-2021</w:t>
      </w:r>
      <w:r>
        <w:rPr>
          <w:rFonts w:ascii="仿宋_GB2312" w:eastAsia="仿宋_GB2312" w:hint="eastAsia"/>
          <w:sz w:val="32"/>
          <w:szCs w:val="32"/>
        </w:rPr>
        <w:t>）或现行的国家或行业、团体水效限额标准等，选取若干标杆，查找自身差距和节水潜力，并编制企业《水效对标分析报告》。</w:t>
      </w:r>
    </w:p>
    <w:p w:rsidR="002700E7">
      <w:pPr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三、工作安排</w:t>
      </w: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政府引导、企业实施、专业机构协助的方式开展，企业可自行选择第三方机构协助开展，具备设备能效（水效）测评能力的企业也可独立完成。为保证能效（水效）对标工作的专业性和科学性，建议企业选择具有国家认可实验室（</w:t>
      </w:r>
      <w:r>
        <w:rPr>
          <w:rFonts w:ascii="仿宋_GB2312" w:eastAsia="仿宋_GB2312" w:hint="eastAsia"/>
          <w:sz w:val="32"/>
          <w:szCs w:val="32"/>
        </w:rPr>
        <w:t>CNAS</w:t>
      </w:r>
      <w:r>
        <w:rPr>
          <w:rFonts w:ascii="仿宋_GB2312" w:eastAsia="仿宋_GB2312" w:hint="eastAsia"/>
          <w:sz w:val="32"/>
          <w:szCs w:val="32"/>
        </w:rPr>
        <w:t>）或省级计量认定（</w:t>
      </w:r>
      <w:r>
        <w:rPr>
          <w:rFonts w:ascii="仿宋_GB2312" w:eastAsia="仿宋_GB2312" w:hint="eastAsia"/>
          <w:sz w:val="32"/>
          <w:szCs w:val="32"/>
        </w:rPr>
        <w:t>CMA</w:t>
      </w:r>
      <w:r>
        <w:rPr>
          <w:rFonts w:ascii="仿宋_GB2312" w:eastAsia="仿宋_GB2312" w:hint="eastAsia"/>
          <w:sz w:val="32"/>
          <w:szCs w:val="32"/>
        </w:rPr>
        <w:t>）资质的第三方机构。深圳市绿创人居环境促进中心协助宣导推进和统计汇总工作（联系人：吴承初，电话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5815525096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2700E7">
      <w:pPr>
        <w:spacing w:line="560" w:lineRule="exact"/>
        <w:ind w:firstLine="640" w:firstLineChars="200"/>
      </w:pPr>
      <w:r>
        <w:rPr>
          <w:rFonts w:ascii="仿宋_GB2312" w:eastAsia="仿宋_GB2312" w:hint="eastAsia"/>
          <w:sz w:val="32"/>
          <w:szCs w:val="32"/>
        </w:rPr>
        <w:t>市工业和信息化局将组织专家对企业《能效（水效）对标分析报告》进行评审，并公布对标结果和能效（水效）领跑者名单，并适时对能效（水效）水平落后的重点用能（用水）企业开展节能监察。对标排名靠后的企业应健全节能（节水）制度、完善能源管理体系，不断挖掘节能（节水）潜力，开展节能（节水）诊断和电平衡、水平衡测试，实施节能、节水技术改造，提升能效（水效）水平。</w:t>
      </w:r>
    </w:p>
    <w:p w:rsidR="002700E7">
      <w:pPr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四、其他</w:t>
      </w: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能效（水效）对标工作完成情况将纳入年度节能目标责任评价考核范围。请各区（新区</w:t>
      </w:r>
      <w:bookmarkStart w:id="2" w:name="_Hlk49173025"/>
      <w:r>
        <w:rPr>
          <w:rFonts w:ascii="仿宋_GB2312" w:eastAsia="仿宋_GB2312" w:hint="eastAsia"/>
          <w:sz w:val="32"/>
          <w:szCs w:val="32"/>
        </w:rPr>
        <w:t>、深汕特别合作区</w:t>
      </w:r>
      <w:bookmarkEnd w:id="2"/>
      <w:r>
        <w:rPr>
          <w:rFonts w:ascii="仿宋_GB2312" w:eastAsia="仿宋_GB2312" w:hint="eastAsia"/>
          <w:sz w:val="32"/>
          <w:szCs w:val="32"/>
        </w:rPr>
        <w:t>）工业和信息化主管部门高度重视</w:t>
      </w:r>
      <w:r>
        <w:rPr>
          <w:rFonts w:ascii="仿宋_GB2312" w:eastAsia="仿宋_GB2312" w:hint="eastAsia"/>
          <w:sz w:val="32"/>
          <w:szCs w:val="32"/>
        </w:rPr>
        <w:t>，积极落实相关工作，于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日前将能效（水效）对标汇总表（附件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.3</w:t>
      </w:r>
      <w:r>
        <w:rPr>
          <w:rFonts w:ascii="仿宋_GB2312" w:eastAsia="仿宋_GB2312" w:hint="eastAsia"/>
          <w:sz w:val="32"/>
          <w:szCs w:val="32"/>
        </w:rPr>
        <w:t>）和对标分析报告（纸质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份，电子版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份）报送至我局资源综合利用与电力处（联系人：倪彬，电话：</w:t>
      </w:r>
      <w:r>
        <w:rPr>
          <w:rFonts w:ascii="仿宋_GB2312" w:eastAsia="仿宋_GB2312" w:hint="eastAsia"/>
          <w:sz w:val="32"/>
          <w:szCs w:val="32"/>
        </w:rPr>
        <w:t>18681530188</w:t>
      </w:r>
      <w:r>
        <w:rPr>
          <w:rFonts w:ascii="仿宋_GB2312" w:eastAsia="仿宋_GB2312" w:hint="eastAsia"/>
          <w:sz w:val="32"/>
          <w:szCs w:val="32"/>
        </w:rPr>
        <w:t>，邮箱：</w:t>
      </w:r>
      <w:r>
        <w:fldChar w:fldCharType="begin"/>
      </w:r>
      <w:r>
        <w:instrText xml:space="preserve"> HYPERLINK "mailto:yisp@gxj.sz.gov.cn）。" </w:instrText>
      </w:r>
      <w:r>
        <w:fldChar w:fldCharType="separate"/>
      </w:r>
      <w:r>
        <w:rPr>
          <w:rFonts w:ascii="仿宋_GB2312" w:eastAsia="仿宋_GB2312" w:hint="eastAsia"/>
          <w:sz w:val="32"/>
          <w:szCs w:val="32"/>
        </w:rPr>
        <w:t>zyzhlydlc@gxj.sz.gov.cn</w:t>
      </w:r>
      <w:r>
        <w:rPr>
          <w:rFonts w:ascii="仿宋_GB2312" w:eastAsia="仿宋_GB2312" w:hint="eastAsia"/>
          <w:sz w:val="32"/>
          <w:szCs w:val="32"/>
        </w:rPr>
        <w:t>）。</w:t>
      </w:r>
      <w:r>
        <w:fldChar w:fldCharType="end"/>
      </w:r>
      <w:bookmarkStart w:id="3" w:name="_GoBack"/>
      <w:bookmarkEnd w:id="3"/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市工业和信息化局已于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日发布《深圳市工业和信息化局支持绿色发展促进工业“碳达峰”扶植计划操作规程》，对企业开展节能、节水改造及再生水重复利用示范项目和能效（水效）</w:t>
      </w:r>
      <w:r>
        <w:rPr>
          <w:rFonts w:ascii="仿宋_GB2312" w:eastAsia="仿宋_GB2312" w:hint="eastAsia"/>
          <w:sz w:val="32"/>
          <w:szCs w:val="32"/>
        </w:rPr>
        <w:t>领跑者给予一定扶持，请各工业企业积极开展，并申报扶持资金。</w:t>
      </w: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:rsidR="002700E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1.1 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年深圳市能效（水效）对标任务分解表</w:t>
      </w:r>
    </w:p>
    <w:p w:rsidR="002700E7"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1.2 </w:t>
      </w:r>
      <w:r>
        <w:rPr>
          <w:rFonts w:ascii="仿宋_GB2312" w:eastAsia="仿宋_GB2312" w:hint="eastAsia"/>
          <w:sz w:val="32"/>
          <w:szCs w:val="32"/>
        </w:rPr>
        <w:t>企业能效（水效）对标分析报告（模板）</w:t>
      </w:r>
    </w:p>
    <w:p w:rsidR="002700E7"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1.3 </w:t>
      </w:r>
      <w:r>
        <w:rPr>
          <w:rFonts w:ascii="仿宋_GB2312" w:eastAsia="仿宋_GB2312" w:hint="eastAsia"/>
          <w:sz w:val="32"/>
          <w:szCs w:val="32"/>
        </w:rPr>
        <w:t>各区企业能效（水效）对标完成情况汇总表</w:t>
      </w:r>
    </w:p>
    <w:p w:rsidR="002700E7">
      <w:pPr>
        <w:spacing w:line="560" w:lineRule="exact"/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1.4 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年年用水量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</w:t>
      </w:r>
      <w:r>
        <w:rPr>
          <w:rFonts w:ascii="仿宋_GB2312" w:eastAsia="仿宋_GB2312" w:hint="eastAsia"/>
          <w:sz w:val="32"/>
          <w:szCs w:val="32"/>
        </w:rPr>
        <w:t>m</w:t>
      </w:r>
      <w:r>
        <w:rPr>
          <w:rFonts w:ascii="Calibri" w:eastAsia="仿宋_GB2312" w:hAnsi="Calibri" w:cs="Calibri"/>
          <w:sz w:val="32"/>
          <w:szCs w:val="32"/>
        </w:rPr>
        <w:t>³</w:t>
      </w:r>
      <w:r>
        <w:rPr>
          <w:rFonts w:ascii="Calibri" w:eastAsia="仿宋_GB2312" w:hAnsi="Calibri" w:cs="Calibri" w:hint="eastAsia"/>
          <w:sz w:val="32"/>
          <w:szCs w:val="32"/>
        </w:rPr>
        <w:t>以上工业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企业名</w:t>
      </w:r>
      <w:r>
        <w:rPr>
          <w:rFonts w:ascii="仿宋_GB2312" w:eastAsia="仿宋_GB2312" w:hint="eastAsia"/>
          <w:sz w:val="32"/>
          <w:szCs w:val="32"/>
        </w:rPr>
        <w:t>单</w:t>
      </w:r>
    </w:p>
    <w:p w:rsidR="002700E7">
      <w:pPr>
        <w:spacing w:line="560" w:lineRule="exact"/>
        <w:ind w:firstLine="1600" w:firstLineChars="50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1.5</w:t>
      </w:r>
      <w:r>
        <w:rPr>
          <w:rFonts w:ascii="仿宋_GB2312" w:eastAsia="仿宋_GB2312" w:hint="eastAsia"/>
          <w:sz w:val="32"/>
          <w:szCs w:val="32"/>
        </w:rPr>
        <w:t>“十三五”深圳市已开展能效对标企业名单</w:t>
      </w:r>
    </w:p>
    <w:p w:rsidR="002700E7">
      <w:pPr>
        <w:widowControl/>
        <w:jc w:val="left"/>
      </w:pPr>
    </w:p>
    <w:p w:rsidR="00E271BD">
      <w:pPr>
        <w:widowControl/>
        <w:jc w:val="left"/>
      </w:pPr>
    </w:p>
    <w:sectPr w:rsidSect="00E271BD"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701" w:right="1418" w:bottom="170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63547"/>
      <w:docPartObj>
        <w:docPartGallery w:val="Page Numbers (Bottom of Page)"/>
        <w:docPartUnique/>
      </w:docPartObj>
    </w:sdtPr>
    <w:sdtContent>
      <w:p w:rsidR="00E271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E271BD">
          <w:rPr>
            <w:noProof/>
            <w:lang w:val="zh-CN"/>
          </w:rPr>
          <w:t>4</w:t>
        </w:r>
        <w:r w:rsidRPr="00E271BD">
          <w:rPr>
            <w:noProof/>
            <w:lang w:val="zh-CN"/>
          </w:rPr>
          <w:fldChar w:fldCharType="end"/>
        </w:r>
      </w:p>
    </w:sdtContent>
  </w:sdt>
  <w:p w:rsidR="00E271B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E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0-21 14:24:20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E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0-21 14:24:20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E7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0-20 15:25:27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0-21 14:24:2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Default Paragraph Font" w:semiHidden="1" w:uiPriority="1" w:unhideWhenUsed="1"/>
    <w:lsdException w:name="Body Text" w:uiPriority="3" w:qFormat="1"/>
    <w:lsdException w:name="Hyperlink" w:uiPriority="99" w:unhideWhenUsed="1"/>
    <w:lsdException w:name="FollowedHyperlink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2700E7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autoRedefine/>
    <w:qFormat/>
    <w:rsid w:val="00E271BD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Heading2">
    <w:name w:val="heading 2"/>
    <w:basedOn w:val="Normal"/>
    <w:next w:val="NormalIndent"/>
    <w:link w:val="2Char"/>
    <w:autoRedefine/>
    <w:uiPriority w:val="3"/>
    <w:qFormat/>
    <w:rsid w:val="00E271BD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楷体GB"/>
    <w:basedOn w:val="Normal"/>
    <w:link w:val="Char"/>
    <w:uiPriority w:val="3"/>
    <w:qFormat/>
    <w:rsid w:val="00E271BD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Footer">
    <w:name w:val="footer"/>
    <w:basedOn w:val="Normal"/>
    <w:link w:val="Char1"/>
    <w:uiPriority w:val="99"/>
    <w:rsid w:val="002700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rsid w:val="002700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rsid w:val="002700E7"/>
    <w:rPr>
      <w:sz w:val="24"/>
    </w:rPr>
  </w:style>
  <w:style w:type="character" w:styleId="FollowedHyperlink">
    <w:name w:val="FollowedHyperlink"/>
    <w:basedOn w:val="DefaultParagraphFont"/>
    <w:uiPriority w:val="99"/>
    <w:rsid w:val="002700E7"/>
    <w:rPr>
      <w:color w:val="1F2021"/>
      <w:u w:val="none"/>
    </w:rPr>
  </w:style>
  <w:style w:type="character" w:styleId="Hyperlink">
    <w:name w:val="Hyperlink"/>
    <w:uiPriority w:val="99"/>
    <w:unhideWhenUsed/>
    <w:rsid w:val="002700E7"/>
    <w:rPr>
      <w:color w:val="0563C1"/>
      <w:u w:val="single"/>
    </w:rPr>
  </w:style>
  <w:style w:type="character" w:customStyle="1" w:styleId="Char">
    <w:name w:val="正文文本 Char"/>
    <w:aliases w:val="楷体GB Char"/>
    <w:basedOn w:val="DefaultParagraphFont"/>
    <w:link w:val="BodyText"/>
    <w:uiPriority w:val="3"/>
    <w:rsid w:val="00E271BD"/>
    <w:rPr>
      <w:rFonts w:ascii="楷体_GB2312" w:eastAsia="楷体_GB2312"/>
      <w:kern w:val="2"/>
      <w:sz w:val="32"/>
    </w:rPr>
  </w:style>
  <w:style w:type="paragraph" w:styleId="ListParagraph">
    <w:name w:val="List Paragraph"/>
    <w:basedOn w:val="Normal"/>
    <w:uiPriority w:val="34"/>
    <w:rsid w:val="002700E7"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rsid w:val="002700E7"/>
    <w:rPr>
      <w:rFonts w:ascii="Times New Roman" w:hAnsi="Times New Roman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2700E7"/>
    <w:rPr>
      <w:rFonts w:ascii="Times New Roman" w:hAnsi="Times New Roman"/>
      <w:kern w:val="2"/>
      <w:sz w:val="18"/>
      <w:szCs w:val="18"/>
    </w:rPr>
  </w:style>
  <w:style w:type="character" w:customStyle="1" w:styleId="time">
    <w:name w:val="time"/>
    <w:basedOn w:val="DefaultParagraphFont"/>
    <w:rsid w:val="002700E7"/>
    <w:rPr>
      <w:color w:val="888888"/>
    </w:rPr>
  </w:style>
  <w:style w:type="character" w:customStyle="1" w:styleId="year">
    <w:name w:val="year"/>
    <w:basedOn w:val="DefaultParagraphFont"/>
    <w:rsid w:val="002700E7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rsid w:val="00E271BD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3"/>
    <w:rsid w:val="00E271BD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NormalIndent">
    <w:name w:val="Normal Indent"/>
    <w:basedOn w:val="Normal"/>
    <w:rsid w:val="00E271BD"/>
    <w:pPr>
      <w:ind w:firstLine="420" w:firstLineChars="200"/>
    </w:pPr>
  </w:style>
  <w:style w:type="paragraph" w:customStyle="1" w:styleId="a">
    <w:name w:val="附件"/>
    <w:basedOn w:val="Normal"/>
    <w:uiPriority w:val="3"/>
    <w:qFormat/>
    <w:rsid w:val="00E271BD"/>
    <w:pPr>
      <w:spacing w:line="540" w:lineRule="exact"/>
      <w:ind w:left="1014" w:hanging="1014" w:hangingChars="326"/>
    </w:pPr>
    <w:rPr>
      <w:rFonts w:ascii="黑体" w:eastAsia="黑体" w:hAnsi="黑体"/>
      <w:sz w:val="32"/>
      <w:szCs w:val="32"/>
    </w:rPr>
  </w:style>
  <w:style w:type="paragraph" w:customStyle="1" w:styleId="a0">
    <w:name w:val="文件正文"/>
    <w:basedOn w:val="ListParagraph"/>
    <w:next w:val="Char"/>
    <w:uiPriority w:val="2"/>
    <w:qFormat/>
    <w:rsid w:val="00E271BD"/>
  </w:style>
  <w:style w:type="paragraph" w:styleId="Subtitle">
    <w:name w:val="Subtitle"/>
    <w:basedOn w:val="Normal"/>
    <w:next w:val="Normal"/>
    <w:link w:val="Char2"/>
    <w:rsid w:val="00E271BD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DefaultParagraphFont"/>
    <w:link w:val="Subtitle"/>
    <w:rsid w:val="00E271BD"/>
    <w:rPr>
      <w:rFonts w:asciiTheme="majorHAnsi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吴可扬（非）</cp:lastModifiedBy>
  <cp:revision>68</cp:revision>
  <cp:lastPrinted>2021-10-20T07:27:00Z</cp:lastPrinted>
  <dcterms:created xsi:type="dcterms:W3CDTF">2021-08-08T07:40:00Z</dcterms:created>
  <dcterms:modified xsi:type="dcterms:W3CDTF">2021-10-20T07:30:00Z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