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深圳市政协</w:t>
      </w:r>
      <w:r>
        <w:rPr>
          <w:rFonts w:hint="eastAsia"/>
          <w:sz w:val="44"/>
          <w:szCs w:val="44"/>
        </w:rPr>
        <w:t>2021</w:t>
      </w:r>
      <w:r>
        <w:rPr>
          <w:rFonts w:hint="eastAsia"/>
          <w:sz w:val="44"/>
          <w:szCs w:val="44"/>
        </w:rPr>
        <w:t>年提案工作清单表</w:t>
      </w:r>
    </w:p>
    <w:p>
      <w:pPr>
        <w:jc w:val="left"/>
        <w:rPr>
          <w:sz w:val="24"/>
        </w:rPr>
      </w:pPr>
      <w:r>
        <w:rPr>
          <w:rFonts w:hint="eastAsia" w:ascii="宋体" w:hAnsi="宋体" w:cs="宋体"/>
          <w:kern w:val="0"/>
          <w:sz w:val="20"/>
          <w:szCs w:val="20"/>
        </w:rPr>
        <w:t>市工业和信息化局</w:t>
      </w:r>
      <w:r>
        <w:rPr>
          <w:sz w:val="24"/>
        </w:rPr>
        <w:t xml:space="preserve">                                                               </w:t>
      </w:r>
      <w:r>
        <w:rPr>
          <w:rFonts w:hint="eastAsia"/>
          <w:sz w:val="24"/>
        </w:rPr>
        <w:t>整理时间：</w:t>
      </w:r>
      <w:bookmarkStart w:id="0" w:name="OLE_LINK2"/>
      <w:bookmarkEnd w:id="0"/>
      <w:r>
        <w:rPr>
          <w:rFonts w:hint="eastAsia"/>
          <w:sz w:val="24"/>
        </w:rPr>
        <w:t>2021年12月08日</w:t>
      </w:r>
    </w:p>
    <w:tbl>
      <w:tblPr>
        <w:tblStyle w:val="4"/>
        <w:tblW w:w="133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0"/>
        <w:gridCol w:w="808"/>
        <w:gridCol w:w="730"/>
        <w:gridCol w:w="749"/>
        <w:gridCol w:w="942"/>
        <w:gridCol w:w="1963"/>
        <w:gridCol w:w="2088"/>
        <w:gridCol w:w="2105"/>
        <w:gridCol w:w="2092"/>
        <w:gridCol w:w="1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59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案号</w:t>
            </w:r>
          </w:p>
        </w:tc>
        <w:tc>
          <w:tcPr>
            <w:tcW w:w="80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案由</w:t>
            </w:r>
          </w:p>
        </w:tc>
        <w:tc>
          <w:tcPr>
            <w:tcW w:w="73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第一提案人</w:t>
            </w:r>
          </w:p>
        </w:tc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办理单位</w:t>
            </w:r>
          </w:p>
        </w:tc>
        <w:tc>
          <w:tcPr>
            <w:tcW w:w="1963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提案意见建议</w:t>
            </w:r>
          </w:p>
        </w:tc>
        <w:tc>
          <w:tcPr>
            <w:tcW w:w="208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当年完成事项</w:t>
            </w:r>
          </w:p>
        </w:tc>
        <w:tc>
          <w:tcPr>
            <w:tcW w:w="210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当年推动工作</w:t>
            </w:r>
          </w:p>
        </w:tc>
        <w:tc>
          <w:tcPr>
            <w:tcW w:w="2092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明年待落实事项</w:t>
            </w:r>
          </w:p>
        </w:tc>
        <w:tc>
          <w:tcPr>
            <w:tcW w:w="13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不能采纳原因及其他情况说明</w:t>
            </w: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59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808" w:type="dxa"/>
            <w:vMerge w:val="continue"/>
            <w:vAlign w:val="center"/>
          </w:tcPr>
          <w:p>
            <w:pPr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承办</w:t>
            </w:r>
          </w:p>
          <w:p>
            <w:pPr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（主办）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分办</w:t>
            </w:r>
          </w:p>
          <w:p>
            <w:pPr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（会办）</w:t>
            </w:r>
          </w:p>
        </w:tc>
        <w:tc>
          <w:tcPr>
            <w:tcW w:w="1963" w:type="dxa"/>
            <w:vMerge w:val="continue"/>
            <w:vAlign w:val="center"/>
          </w:tcPr>
          <w:p>
            <w:pPr>
              <w:rPr>
                <w:rFonts w:ascii="黑体" w:hAnsi="黑体" w:eastAsia="黑体"/>
                <w:b/>
                <w:bCs/>
                <w:kern w:val="0"/>
                <w:szCs w:val="21"/>
              </w:rPr>
            </w:pPr>
          </w:p>
        </w:tc>
        <w:tc>
          <w:tcPr>
            <w:tcW w:w="2088" w:type="dxa"/>
            <w:vMerge w:val="continue"/>
            <w:vAlign w:val="center"/>
          </w:tcPr>
          <w:p>
            <w:pPr>
              <w:rPr>
                <w:rFonts w:ascii="黑体" w:hAnsi="黑体" w:eastAsia="黑体"/>
                <w:b/>
                <w:bCs/>
                <w:kern w:val="0"/>
                <w:szCs w:val="21"/>
              </w:rPr>
            </w:pPr>
          </w:p>
        </w:tc>
        <w:tc>
          <w:tcPr>
            <w:tcW w:w="2105" w:type="dxa"/>
            <w:vMerge w:val="continue"/>
            <w:vAlign w:val="center"/>
          </w:tcPr>
          <w:p>
            <w:pPr>
              <w:rPr>
                <w:rFonts w:ascii="黑体" w:hAnsi="黑体" w:eastAsia="黑体"/>
                <w:b/>
                <w:bCs/>
                <w:kern w:val="0"/>
                <w:szCs w:val="21"/>
              </w:rPr>
            </w:pPr>
          </w:p>
        </w:tc>
        <w:tc>
          <w:tcPr>
            <w:tcW w:w="2092" w:type="dxa"/>
            <w:vMerge w:val="continue"/>
            <w:vAlign w:val="center"/>
          </w:tcPr>
          <w:p>
            <w:pPr>
              <w:rPr>
                <w:rFonts w:ascii="黑体" w:hAnsi="黑体" w:eastAsia="黑体"/>
                <w:b/>
                <w:bCs/>
                <w:kern w:val="0"/>
                <w:szCs w:val="21"/>
              </w:rPr>
            </w:pPr>
          </w:p>
        </w:tc>
        <w:tc>
          <w:tcPr>
            <w:tcW w:w="1301" w:type="dxa"/>
            <w:vMerge w:val="continue"/>
            <w:vAlign w:val="center"/>
          </w:tcPr>
          <w:p>
            <w:pPr>
              <w:rPr>
                <w:rFonts w:ascii="黑体" w:hAnsi="黑体" w:eastAsia="黑体"/>
                <w:b/>
                <w:bCs/>
                <w:kern w:val="0"/>
                <w:szCs w:val="21"/>
              </w:rPr>
            </w:pPr>
          </w:p>
        </w:tc>
      </w:tr>
      <w:tr>
        <w:tc>
          <w:tcPr>
            <w:tcW w:w="2310" w:type="dxa"/>
            <w:vMerge w:val="restart"/>
          </w:tcPr>
          <w:p>
            <w:pPr/>
            <w:r>
              <w:rPr>
                <w:lang w:val="zh-CN"/>
              </w:rPr>
              <w:t>20210569</w:t>
            </w:r>
          </w:p>
        </w:tc>
        <w:tc>
          <w:tcPr>
            <w:tcW w:w="2310" w:type="dxa"/>
            <w:vMerge w:val="restart"/>
          </w:tcPr>
          <w:p>
            <w:pPr/>
            <w:r>
              <w:rPr>
                <w:lang w:val="zh-CN"/>
              </w:rPr>
              <w:t>关于加快推动深圳自有消费品牌做强做大的提案</w:t>
            </w:r>
          </w:p>
        </w:tc>
        <w:tc>
          <w:tcPr>
            <w:tcW w:w="2310" w:type="dxa"/>
            <w:vMerge w:val="restart"/>
          </w:tcPr>
          <w:p>
            <w:pPr/>
            <w:r>
              <w:rPr>
                <w:lang w:val="zh-CN"/>
              </w:rPr>
              <w:t>方修元</w:t>
            </w:r>
          </w:p>
        </w:tc>
        <w:tc>
          <w:tcPr>
            <w:tcW w:w="2310" w:type="dxa"/>
            <w:vMerge w:val="restart"/>
          </w:tcPr>
          <w:p>
            <w:pPr/>
            <w:r>
              <w:rPr>
                <w:lang w:val="zh-CN"/>
              </w:rPr>
              <w:t>市商务局,市工业和信息化局</w:t>
            </w:r>
          </w:p>
        </w:tc>
        <w:tc>
          <w:tcPr>
            <w:tcW w:w="2310" w:type="dxa"/>
            <w:vMerge w:val="restart"/>
          </w:tcPr>
          <w:p>
            <w:pPr/>
            <w:r>
              <w:rPr>
                <w:lang w:val="zh-CN"/>
              </w:rPr>
              <w:t xml:space="preserve"> 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</w:rPr>
              <w:t>1.加大品牌扶持力度，增加品牌建设的财政支持，建设深圳本土消费品牌发展路线图；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</w:rPr>
              <w:t>1.本年度市政府出台1号文件《关于推动制造业高质量发展坚定不移打造制造强市的若干措施》。为使新政策更好的落地实施，我局制定了《深圳市工业和信息化局质量品牌双提升项目扶持计划操作规程》。近日，《2022年深圳市工业和信息化局质量品牌双提升项目扶持计划申报指南》也已在我局官网正式发布，目前正在受理项目申报。此外，我局于2020年制定并印发实施了《深圳市时尚产业高质量发展行动计划（2020—2024年）》</w:t>
            </w:r>
          </w:p>
        </w:tc>
        <w:tc>
          <w:tcPr>
            <w:tcW w:w="2310" w:type="dxa"/>
          </w:tcPr>
          <w:p>
            <w:pPr/>
          </w:p>
        </w:tc>
        <w:tc>
          <w:tcPr>
            <w:tcW w:w="2310" w:type="dxa"/>
          </w:tcPr>
          <w:p>
            <w:pPr/>
          </w:p>
        </w:tc>
        <w:tc>
          <w:tcPr>
            <w:tcW w:w="2310" w:type="dxa"/>
          </w:tcPr>
          <w:p>
            <w:pPr/>
          </w:p>
        </w:tc>
      </w:tr>
      <w:tr>
        <w:tc>
          <w:tcPr>
            <w:tcW w:w="2310" w:type="dxa"/>
            <w:vMerge/>
          </w:tcPr>
          <w:p>
            <w:pPr/>
          </w:p>
        </w:tc>
        <w:tc>
          <w:tcPr>
            <w:tcW w:w="2310" w:type="dxa"/>
            <w:vMerge/>
          </w:tcPr>
          <w:p>
            <w:pPr/>
          </w:p>
        </w:tc>
        <w:tc>
          <w:tcPr>
            <w:tcW w:w="2310" w:type="dxa"/>
            <w:vMerge/>
          </w:tcPr>
          <w:p>
            <w:pPr/>
          </w:p>
        </w:tc>
        <w:tc>
          <w:tcPr>
            <w:tcW w:w="2310" w:type="dxa"/>
            <w:vMerge/>
          </w:tcPr>
          <w:p>
            <w:pPr/>
          </w:p>
        </w:tc>
        <w:tc>
          <w:tcPr>
            <w:tcW w:w="2310" w:type="dxa"/>
            <w:vMerge/>
          </w:tcPr>
          <w:p>
            <w:pPr/>
          </w:p>
        </w:tc>
        <w:tc>
          <w:tcPr>
            <w:tcW w:w="2310" w:type="dxa"/>
          </w:tcPr>
          <w:p>
            <w:pPr/>
            <w:r>
              <w:rPr>
                <w:lang w:val="zh-CN"/>
              </w:rPr>
              <w:t>2.组织“深圳知名消费品牌”评选，打造典型，树立标杆，培育重点，政府采购优先考虑评选企业；</w:t>
            </w:r>
          </w:p>
        </w:tc>
        <w:tc>
          <w:tcPr>
            <w:tcW w:w="2310" w:type="dxa"/>
          </w:tcPr>
          <w:p>
            <w:pPr/>
          </w:p>
        </w:tc>
        <w:tc>
          <w:tcPr>
            <w:tcW w:w="2310" w:type="dxa"/>
          </w:tcPr>
          <w:p>
            <w:pPr/>
          </w:p>
        </w:tc>
        <w:tc>
          <w:tcPr>
            <w:tcW w:w="2310" w:type="dxa"/>
          </w:tcPr>
          <w:p>
            <w:pPr/>
          </w:p>
        </w:tc>
        <w:tc>
          <w:tcPr>
            <w:tcW w:w="2310" w:type="dxa"/>
          </w:tcPr>
          <w:p>
            <w:pPr/>
          </w:p>
        </w:tc>
      </w:tr>
      <w:tr>
        <w:tc>
          <w:tcPr>
            <w:tcW w:w="2310" w:type="dxa"/>
            <w:vMerge/>
          </w:tcPr>
          <w:p>
            <w:pPr/>
          </w:p>
        </w:tc>
        <w:tc>
          <w:tcPr>
            <w:tcW w:w="2310" w:type="dxa"/>
            <w:vMerge/>
          </w:tcPr>
          <w:p>
            <w:pPr/>
          </w:p>
        </w:tc>
        <w:tc>
          <w:tcPr>
            <w:tcW w:w="2310" w:type="dxa"/>
            <w:vMerge/>
          </w:tcPr>
          <w:p>
            <w:pPr/>
          </w:p>
        </w:tc>
        <w:tc>
          <w:tcPr>
            <w:tcW w:w="2310" w:type="dxa"/>
            <w:vMerge/>
          </w:tcPr>
          <w:p>
            <w:pPr/>
          </w:p>
        </w:tc>
        <w:tc>
          <w:tcPr>
            <w:tcW w:w="2310" w:type="dxa"/>
            <w:vMerge/>
          </w:tcPr>
          <w:p>
            <w:pPr/>
          </w:p>
        </w:tc>
        <w:tc>
          <w:tcPr>
            <w:tcW w:w="2310" w:type="dxa"/>
          </w:tcPr>
          <w:p>
            <w:pPr/>
            <w:r>
              <w:rPr>
                <w:lang w:val="zh-CN"/>
              </w:rPr>
              <w:t>3.讲好深圳品牌故事，利用一切机会和媒体积极宣传深圳本土品牌；</w:t>
            </w:r>
          </w:p>
        </w:tc>
        <w:tc>
          <w:tcPr>
            <w:tcW w:w="2310" w:type="dxa"/>
          </w:tcPr>
          <w:p>
            <w:pPr/>
          </w:p>
        </w:tc>
        <w:tc>
          <w:tcPr>
            <w:tcW w:w="2310" w:type="dxa"/>
          </w:tcPr>
          <w:p>
            <w:pPr/>
          </w:p>
        </w:tc>
        <w:tc>
          <w:tcPr>
            <w:tcW w:w="2310" w:type="dxa"/>
          </w:tcPr>
          <w:p>
            <w:pPr/>
          </w:p>
        </w:tc>
        <w:tc>
          <w:tcPr>
            <w:tcW w:w="2310" w:type="dxa"/>
          </w:tcPr>
          <w:p>
            <w:pPr/>
          </w:p>
        </w:tc>
      </w:tr>
      <w:tr>
        <w:tc>
          <w:tcPr>
            <w:tcW w:w="2310" w:type="dxa"/>
            <w:vMerge/>
          </w:tcPr>
          <w:p>
            <w:pPr/>
          </w:p>
        </w:tc>
        <w:tc>
          <w:tcPr>
            <w:tcW w:w="2310" w:type="dxa"/>
            <w:vMerge/>
          </w:tcPr>
          <w:p>
            <w:pPr/>
          </w:p>
        </w:tc>
        <w:tc>
          <w:tcPr>
            <w:tcW w:w="2310" w:type="dxa"/>
            <w:vMerge/>
          </w:tcPr>
          <w:p>
            <w:pPr/>
          </w:p>
        </w:tc>
        <w:tc>
          <w:tcPr>
            <w:tcW w:w="2310" w:type="dxa"/>
            <w:vMerge/>
          </w:tcPr>
          <w:p>
            <w:pPr/>
          </w:p>
        </w:tc>
        <w:tc>
          <w:tcPr>
            <w:tcW w:w="2310" w:type="dxa"/>
            <w:vMerge/>
          </w:tcPr>
          <w:p>
            <w:pPr/>
          </w:p>
        </w:tc>
        <w:tc>
          <w:tcPr>
            <w:tcW w:w="2310" w:type="dxa"/>
          </w:tcPr>
          <w:p>
            <w:pPr/>
            <w:r>
              <w:rPr>
                <w:lang w:val="zh-CN"/>
              </w:rPr>
              <w:t>4.倍加呵护消费品牌的成长，包容品牌成长中遇到的各种问题，帮助企业打假维权；</w:t>
            </w:r>
          </w:p>
        </w:tc>
        <w:tc>
          <w:tcPr>
            <w:tcW w:w="2310" w:type="dxa"/>
          </w:tcPr>
          <w:p>
            <w:pPr/>
          </w:p>
        </w:tc>
        <w:tc>
          <w:tcPr>
            <w:tcW w:w="2310" w:type="dxa"/>
          </w:tcPr>
          <w:p>
            <w:pPr/>
          </w:p>
        </w:tc>
        <w:tc>
          <w:tcPr>
            <w:tcW w:w="2310" w:type="dxa"/>
          </w:tcPr>
          <w:p>
            <w:pPr/>
          </w:p>
        </w:tc>
        <w:tc>
          <w:tcPr>
            <w:tcW w:w="2310" w:type="dxa"/>
          </w:tcPr>
          <w:p>
            <w:pPr/>
          </w:p>
        </w:tc>
      </w:tr>
      <w:tr>
        <w:tc>
          <w:tcPr>
            <w:tcW w:w="2310" w:type="dxa"/>
            <w:vMerge/>
          </w:tcPr>
          <w:p>
            <w:pPr/>
          </w:p>
        </w:tc>
        <w:tc>
          <w:tcPr>
            <w:tcW w:w="2310" w:type="dxa"/>
            <w:vMerge/>
          </w:tcPr>
          <w:p>
            <w:pPr/>
          </w:p>
        </w:tc>
        <w:tc>
          <w:tcPr>
            <w:tcW w:w="2310" w:type="dxa"/>
            <w:vMerge/>
          </w:tcPr>
          <w:p>
            <w:pPr/>
          </w:p>
        </w:tc>
        <w:tc>
          <w:tcPr>
            <w:tcW w:w="2310" w:type="dxa"/>
            <w:vMerge/>
          </w:tcPr>
          <w:p>
            <w:pPr/>
          </w:p>
        </w:tc>
        <w:tc>
          <w:tcPr>
            <w:tcW w:w="2310" w:type="dxa"/>
            <w:vMerge/>
          </w:tcPr>
          <w:p>
            <w:pPr/>
          </w:p>
        </w:tc>
        <w:tc>
          <w:tcPr>
            <w:tcW w:w="2310" w:type="dxa"/>
          </w:tcPr>
          <w:p>
            <w:pPr/>
            <w:r>
              <w:rPr>
                <w:lang w:val="zh-CN"/>
              </w:rPr>
              <w:t>5.推动传统消费企业尽快实施数字化转型，在数字化转型方面投入的软件、云服务等加大财政支持力度。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</w:rPr>
              <w:t>1.为推进我市工业互联网创新发展，我局已印发实施《深圳市推进工业互联网创新发展行动计划（2021—2023年）》，促进新一代信息技术与工业深度融合创新，加快工业数字化转型和高质量发展。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</w:rPr>
              <w:t>1.目前我局正在制定的《深圳市发展现代时尚产业集群行动计划（2021-2025年）》中明确了加速产业数字化转型的工作任务，鼓励企业运用大数据、工业互联网、5G等信息技术，创新生产制造模式，培育个性化订制、柔性制造等高端制造业态，实现智能制造和智能管理。</w:t>
            </w:r>
          </w:p>
        </w:tc>
        <w:tc>
          <w:tcPr>
            <w:tcW w:w="2310" w:type="dxa"/>
          </w:tcPr>
          <w:p>
            <w:pPr/>
          </w:p>
        </w:tc>
        <w:tc>
          <w:tcPr>
            <w:tcW w:w="2310" w:type="dxa"/>
          </w:tcPr>
          <w:p>
            <w:pPr/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21706E"/>
    <w:rsid w:val="002368EF"/>
    <w:rsid w:val="002476F6"/>
    <w:rsid w:val="06664139"/>
    <w:rsid w:val="172D20D6"/>
    <w:rsid w:val="180264EE"/>
    <w:rsid w:val="349E50A3"/>
    <w:rsid w:val="392A61C5"/>
    <w:rsid w:val="44E5336B"/>
    <w:rsid w:val="4ADF6A2B"/>
    <w:rsid w:val="4B177DEB"/>
    <w:rsid w:val="4BA1709E"/>
    <w:rsid w:val="4C8D0060"/>
    <w:rsid w:val="55544710"/>
    <w:rsid w:val="566775E1"/>
    <w:rsid w:val="593A72C1"/>
    <w:rsid w:val="65125460"/>
    <w:rsid w:val="6C407861"/>
    <w:rsid w:val="762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165</Characters>
  <Lines>1</Lines>
  <Paragraphs>1</Paragraphs>
  <TotalTime>0</TotalTime>
  <ScaleCrop>false</ScaleCrop>
  <LinksUpToDate>false</LinksUpToDate>
  <CharactersWithSpaces>192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Super.Ni</cp:lastModifiedBy>
  <dcterms:modified xsi:type="dcterms:W3CDTF">2020-12-13T06:01:44Z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