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hint="eastAsia" w:ascii="黑体" w:hAnsi="黑体" w:eastAsia="黑体" w:cs="黑体"/>
          <w:szCs w:val="32"/>
        </w:rPr>
      </w:pPr>
      <w:r>
        <w:rPr>
          <w:rFonts w:hint="eastAsia" w:ascii="黑体" w:hAnsi="黑体" w:eastAsia="黑体" w:cs="黑体"/>
          <w:szCs w:val="32"/>
        </w:rPr>
        <w:t>附件</w:t>
      </w:r>
    </w:p>
    <w:p>
      <w:pPr>
        <w:spacing w:line="560" w:lineRule="exact"/>
        <w:ind w:firstLine="0" w:firstLineChars="0"/>
        <w:jc w:val="left"/>
        <w:rPr>
          <w:rFonts w:hint="eastAsia" w:ascii="黑体" w:hAnsi="黑体" w:eastAsia="黑体" w:cs="黑体"/>
          <w:szCs w:val="32"/>
        </w:rPr>
      </w:pPr>
    </w:p>
    <w:p>
      <w:pPr>
        <w:spacing w:line="560" w:lineRule="exact"/>
        <w:ind w:firstLine="0" w:firstLineChars="0"/>
        <w:jc w:val="center"/>
        <w:rPr>
          <w:rFonts w:hint="eastAsia"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社会公众意见采纳情况表</w:t>
      </w:r>
    </w:p>
    <w:p>
      <w:pPr>
        <w:spacing w:line="240" w:lineRule="auto"/>
        <w:ind w:firstLine="0" w:firstLineChars="0"/>
        <w:rPr>
          <w:rFonts w:ascii="等线" w:hAnsi="等线" w:eastAsia="等线"/>
          <w:sz w:val="21"/>
          <w:szCs w:val="22"/>
        </w:rPr>
      </w:pPr>
    </w:p>
    <w:tbl>
      <w:tblPr>
        <w:tblStyle w:val="4"/>
        <w:tblW w:w="13913" w:type="dxa"/>
        <w:tblInd w:w="164" w:type="dxa"/>
        <w:tblLayout w:type="fixed"/>
        <w:tblCellMar>
          <w:top w:w="0" w:type="dxa"/>
          <w:left w:w="108" w:type="dxa"/>
          <w:bottom w:w="0" w:type="dxa"/>
          <w:right w:w="108" w:type="dxa"/>
        </w:tblCellMar>
      </w:tblPr>
      <w:tblGrid>
        <w:gridCol w:w="1006"/>
        <w:gridCol w:w="2197"/>
        <w:gridCol w:w="7215"/>
        <w:gridCol w:w="3495"/>
      </w:tblGrid>
      <w:tr>
        <w:tblPrEx>
          <w:tblLayout w:type="fixed"/>
          <w:tblCellMar>
            <w:top w:w="0" w:type="dxa"/>
            <w:left w:w="108" w:type="dxa"/>
            <w:bottom w:w="0" w:type="dxa"/>
            <w:right w:w="108" w:type="dxa"/>
          </w:tblCellMar>
        </w:tblPrEx>
        <w:trPr>
          <w:trHeight w:val="410" w:hRule="atLeast"/>
          <w:tblHeader/>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rPr>
              <w:t>序号</w:t>
            </w:r>
          </w:p>
        </w:tc>
        <w:tc>
          <w:tcPr>
            <w:tcW w:w="2197"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rPr>
              <w:t>单位</w:t>
            </w:r>
          </w:p>
        </w:tc>
        <w:tc>
          <w:tcPr>
            <w:tcW w:w="721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ascii="黑体" w:hAnsi="黑体" w:eastAsia="黑体" w:cs="黑体"/>
                <w:kern w:val="0"/>
                <w:sz w:val="24"/>
                <w:szCs w:val="24"/>
              </w:rPr>
            </w:pPr>
            <w:r>
              <w:rPr>
                <w:rFonts w:hint="eastAsia" w:ascii="黑体" w:hAnsi="黑体" w:eastAsia="黑体" w:cs="黑体"/>
                <w:kern w:val="0"/>
                <w:sz w:val="24"/>
                <w:szCs w:val="24"/>
              </w:rPr>
              <w:t>意见和建议</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center"/>
              <w:rPr>
                <w:rFonts w:ascii="黑体" w:hAnsi="黑体" w:eastAsia="黑体" w:cs="黑体"/>
                <w:kern w:val="0"/>
                <w:sz w:val="24"/>
                <w:szCs w:val="24"/>
              </w:rPr>
            </w:pPr>
            <w:r>
              <w:rPr>
                <w:rFonts w:hint="eastAsia" w:ascii="黑体" w:hAnsi="黑体" w:eastAsia="黑体" w:cs="黑体"/>
                <w:kern w:val="0"/>
                <w:sz w:val="24"/>
                <w:szCs w:val="24"/>
              </w:rPr>
              <w:t>采纳情况</w:t>
            </w:r>
          </w:p>
        </w:tc>
      </w:tr>
      <w:tr>
        <w:tblPrEx>
          <w:tblLayout w:type="fixed"/>
          <w:tblCellMar>
            <w:top w:w="0" w:type="dxa"/>
            <w:left w:w="108" w:type="dxa"/>
            <w:bottom w:w="0" w:type="dxa"/>
            <w:right w:w="108" w:type="dxa"/>
          </w:tblCellMar>
        </w:tblPrEx>
        <w:trPr>
          <w:trHeight w:val="90"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hint="eastAsia" w:ascii="仿宋_GB2312" w:hAnsi="仿宋_GB2312" w:cs="仿宋_GB2312"/>
                <w:kern w:val="0"/>
                <w:sz w:val="24"/>
                <w:szCs w:val="24"/>
              </w:rPr>
            </w:pPr>
            <w:r>
              <w:rPr>
                <w:rFonts w:hint="eastAsia" w:ascii="仿宋_GB2312" w:hAnsi="仿宋_GB2312" w:cs="仿宋_GB2312"/>
                <w:kern w:val="0"/>
                <w:sz w:val="24"/>
                <w:szCs w:val="24"/>
              </w:rPr>
              <w:t>1</w:t>
            </w:r>
          </w:p>
        </w:tc>
        <w:tc>
          <w:tcPr>
            <w:tcW w:w="2197" w:type="dxa"/>
            <w:vMerge w:val="restart"/>
            <w:tcBorders>
              <w:top w:val="nil"/>
              <w:left w:val="nil"/>
              <w:right w:val="single" w:color="auto" w:sz="4" w:space="0"/>
            </w:tcBorders>
            <w:noWrap w:val="0"/>
            <w:vAlign w:val="center"/>
          </w:tcPr>
          <w:p>
            <w:pPr>
              <w:widowControl/>
              <w:spacing w:line="280" w:lineRule="exact"/>
              <w:ind w:firstLine="0" w:firstLineChars="0"/>
              <w:rPr>
                <w:rFonts w:hint="eastAsia" w:ascii="仿宋_GB2312" w:hAnsi="仿宋_GB2312" w:cs="仿宋_GB2312"/>
                <w:kern w:val="0"/>
                <w:sz w:val="24"/>
                <w:szCs w:val="24"/>
              </w:rPr>
            </w:pPr>
            <w:r>
              <w:rPr>
                <w:rFonts w:hint="eastAsia" w:ascii="仿宋_GB2312" w:hAnsi="仿宋_GB2312" w:cs="仿宋_GB2312"/>
                <w:sz w:val="24"/>
                <w:szCs w:val="24"/>
              </w:rPr>
              <w:t>深圳华制智能制造技术有限公司</w:t>
            </w:r>
          </w:p>
        </w:tc>
        <w:tc>
          <w:tcPr>
            <w:tcW w:w="7215" w:type="dxa"/>
            <w:tcBorders>
              <w:top w:val="nil"/>
              <w:left w:val="nil"/>
              <w:bottom w:val="single" w:color="auto" w:sz="4" w:space="0"/>
              <w:right w:val="single" w:color="auto" w:sz="4" w:space="0"/>
            </w:tcBorders>
            <w:noWrap w:val="0"/>
            <w:vAlign w:val="center"/>
          </w:tcPr>
          <w:p>
            <w:pPr>
              <w:widowControl/>
              <w:spacing w:line="280" w:lineRule="exact"/>
              <w:ind w:firstLine="0" w:firstLineChars="0"/>
              <w:rPr>
                <w:rFonts w:hint="eastAsia" w:ascii="仿宋_GB2312" w:hAnsi="仿宋_GB2312" w:cs="仿宋_GB2312"/>
                <w:kern w:val="0"/>
                <w:sz w:val="24"/>
                <w:szCs w:val="24"/>
              </w:rPr>
            </w:pPr>
            <w:r>
              <w:rPr>
                <w:rFonts w:hint="eastAsia" w:ascii="仿宋_GB2312" w:hAnsi="仿宋_GB2312" w:cs="仿宋_GB2312"/>
                <w:sz w:val="24"/>
                <w:szCs w:val="24"/>
              </w:rPr>
              <w:t>1.建议将第二章第六条（二）奖励范围中“首次新增纳入我市统计数据库的规模以上工业企业”修改为“首次新增纳入我市统计数据库的规模以上与工业制造相关的企业（如制造业、软件与信息技术服务业等）”。</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rPr>
                <w:rFonts w:hint="eastAsia" w:ascii="仿宋_GB2312" w:hAnsi="仿宋_GB2312" w:cs="仿宋_GB2312"/>
                <w:kern w:val="0"/>
                <w:sz w:val="24"/>
                <w:szCs w:val="24"/>
              </w:rPr>
            </w:pPr>
            <w:r>
              <w:rPr>
                <w:rFonts w:hint="eastAsia" w:ascii="仿宋_GB2312" w:hAnsi="仿宋_GB2312" w:cs="仿宋_GB2312"/>
                <w:kern w:val="0"/>
                <w:sz w:val="24"/>
                <w:szCs w:val="24"/>
              </w:rPr>
              <w:t>不采纳。理由：在《关于以更大力度支持民营经济发展的若干措施》（深府规〔2018〕23号）中仅规定对工业企业首次升规给予奖励。</w:t>
            </w:r>
          </w:p>
        </w:tc>
      </w:tr>
      <w:tr>
        <w:tblPrEx>
          <w:tblLayout w:type="fixed"/>
          <w:tblCellMar>
            <w:top w:w="0" w:type="dxa"/>
            <w:left w:w="108" w:type="dxa"/>
            <w:bottom w:w="0" w:type="dxa"/>
            <w:right w:w="108" w:type="dxa"/>
          </w:tblCellMar>
        </w:tblPrEx>
        <w:trPr>
          <w:trHeight w:val="690"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ascii="仿宋_GB2312" w:hAnsi="仿宋_GB2312" w:cs="仿宋_GB2312"/>
                <w:kern w:val="0"/>
                <w:sz w:val="24"/>
                <w:szCs w:val="24"/>
              </w:rPr>
            </w:pPr>
            <w:r>
              <w:rPr>
                <w:rFonts w:hint="eastAsia" w:ascii="仿宋_GB2312" w:hAnsi="仿宋_GB2312" w:cs="仿宋_GB2312"/>
                <w:kern w:val="0"/>
                <w:sz w:val="24"/>
                <w:szCs w:val="24"/>
              </w:rPr>
              <w:t>2</w:t>
            </w:r>
          </w:p>
        </w:tc>
        <w:tc>
          <w:tcPr>
            <w:tcW w:w="2197" w:type="dxa"/>
            <w:vMerge w:val="continue"/>
            <w:tcBorders>
              <w:left w:val="nil"/>
              <w:right w:val="single" w:color="auto" w:sz="4" w:space="0"/>
            </w:tcBorders>
            <w:noWrap w:val="0"/>
            <w:vAlign w:val="center"/>
          </w:tcPr>
          <w:p>
            <w:pPr>
              <w:widowControl/>
              <w:spacing w:line="280" w:lineRule="exact"/>
              <w:ind w:firstLine="0" w:firstLineChars="0"/>
              <w:rPr>
                <w:rFonts w:hint="eastAsia" w:ascii="仿宋_GB2312" w:hAnsi="仿宋_GB2312" w:cs="仿宋_GB2312"/>
                <w:sz w:val="24"/>
                <w:szCs w:val="24"/>
              </w:rPr>
            </w:pPr>
          </w:p>
        </w:tc>
        <w:tc>
          <w:tcPr>
            <w:tcW w:w="7215" w:type="dxa"/>
            <w:tcBorders>
              <w:top w:val="nil"/>
              <w:left w:val="nil"/>
              <w:bottom w:val="single" w:color="auto" w:sz="4" w:space="0"/>
              <w:right w:val="single" w:color="auto" w:sz="4" w:space="0"/>
            </w:tcBorders>
            <w:noWrap w:val="0"/>
            <w:vAlign w:val="center"/>
          </w:tcPr>
          <w:p>
            <w:pPr>
              <w:spacing w:line="240" w:lineRule="auto"/>
              <w:ind w:firstLine="0" w:firstLineChars="0"/>
              <w:rPr>
                <w:rFonts w:hint="eastAsia" w:ascii="仿宋_GB2312" w:hAnsi="仿宋_GB2312" w:cs="仿宋_GB2312"/>
                <w:kern w:val="0"/>
                <w:sz w:val="24"/>
                <w:szCs w:val="24"/>
              </w:rPr>
            </w:pPr>
            <w:r>
              <w:rPr>
                <w:rFonts w:hint="eastAsia" w:ascii="仿宋_GB2312" w:hAnsi="仿宋_GB2312" w:cs="仿宋_GB2312"/>
                <w:sz w:val="24"/>
                <w:szCs w:val="24"/>
              </w:rPr>
              <w:t>2.建议对第二章第八条“民营及中小企业创新发展培育扶持计划支持方向和资助标准”中“（七）小微工业企业上规模奖励项目”的支持方向进行修改，修改为：“鼓励我市小微工业企业转型升级为规模以上企业，对首次新增纳入我市统计数据库的规模以上与工业制造相关的企业（如制造业、软件与信息技术服务业等）给予奖励”。</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rPr>
                <w:rFonts w:hint="eastAsia" w:ascii="仿宋_GB2312" w:hAnsi="仿宋_GB2312" w:cs="仿宋_GB2312"/>
                <w:kern w:val="0"/>
                <w:sz w:val="24"/>
                <w:szCs w:val="24"/>
              </w:rPr>
            </w:pPr>
            <w:r>
              <w:rPr>
                <w:rFonts w:hint="eastAsia" w:ascii="仿宋_GB2312" w:hAnsi="仿宋_GB2312" w:cs="仿宋_GB2312"/>
                <w:kern w:val="0"/>
                <w:sz w:val="24"/>
                <w:szCs w:val="24"/>
              </w:rPr>
              <w:t>不采纳。理由同上。</w:t>
            </w:r>
          </w:p>
        </w:tc>
      </w:tr>
      <w:tr>
        <w:tblPrEx>
          <w:tblLayout w:type="fixed"/>
          <w:tblCellMar>
            <w:top w:w="0" w:type="dxa"/>
            <w:left w:w="108" w:type="dxa"/>
            <w:bottom w:w="0" w:type="dxa"/>
            <w:right w:w="108" w:type="dxa"/>
          </w:tblCellMar>
        </w:tblPrEx>
        <w:trPr>
          <w:trHeight w:val="1039"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0" w:firstLineChars="0"/>
              <w:jc w:val="center"/>
              <w:rPr>
                <w:rFonts w:ascii="仿宋_GB2312" w:hAnsi="仿宋_GB2312" w:cs="仿宋_GB2312"/>
                <w:kern w:val="0"/>
                <w:sz w:val="24"/>
                <w:szCs w:val="24"/>
              </w:rPr>
            </w:pPr>
            <w:r>
              <w:rPr>
                <w:rFonts w:hint="eastAsia" w:ascii="仿宋_GB2312" w:hAnsi="仿宋_GB2312" w:cs="仿宋_GB2312"/>
                <w:kern w:val="0"/>
                <w:sz w:val="24"/>
                <w:szCs w:val="24"/>
              </w:rPr>
              <w:t>3</w:t>
            </w:r>
          </w:p>
        </w:tc>
        <w:tc>
          <w:tcPr>
            <w:tcW w:w="2197" w:type="dxa"/>
            <w:vMerge w:val="continue"/>
            <w:tcBorders>
              <w:left w:val="nil"/>
              <w:bottom w:val="single" w:color="auto" w:sz="4" w:space="0"/>
              <w:right w:val="single" w:color="auto" w:sz="4" w:space="0"/>
            </w:tcBorders>
            <w:noWrap w:val="0"/>
            <w:vAlign w:val="center"/>
          </w:tcPr>
          <w:p>
            <w:pPr>
              <w:spacing w:line="300" w:lineRule="exact"/>
              <w:ind w:firstLine="0" w:firstLineChars="0"/>
              <w:jc w:val="left"/>
              <w:rPr>
                <w:rFonts w:hint="eastAsia" w:ascii="仿宋_GB2312" w:hAnsi="仿宋_GB2312" w:cs="仿宋_GB2312"/>
                <w:kern w:val="0"/>
                <w:sz w:val="24"/>
                <w:szCs w:val="24"/>
              </w:rPr>
            </w:pPr>
          </w:p>
        </w:tc>
        <w:tc>
          <w:tcPr>
            <w:tcW w:w="7215" w:type="dxa"/>
            <w:tcBorders>
              <w:top w:val="single" w:color="auto" w:sz="4" w:space="0"/>
              <w:left w:val="nil"/>
              <w:bottom w:val="single" w:color="auto" w:sz="4" w:space="0"/>
              <w:right w:val="single" w:color="auto" w:sz="4" w:space="0"/>
            </w:tcBorders>
            <w:noWrap w:val="0"/>
            <w:vAlign w:val="center"/>
          </w:tcPr>
          <w:p>
            <w:pPr>
              <w:widowControl/>
              <w:spacing w:line="30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3.对“首次新增纳入我市统计数据库”的时间未作详细注解，建议明确资助范围不止针对2019年首次纳入首次新增纳入我市统计数据库的企业，还包括往年首次新增纳入我市统计数据库且未享受过此类补助的企业。</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rPr>
                <w:rFonts w:hint="eastAsia" w:ascii="仿宋_GB2312" w:hAnsi="仿宋_GB2312" w:cs="仿宋_GB2312"/>
                <w:kern w:val="0"/>
                <w:sz w:val="24"/>
                <w:szCs w:val="24"/>
              </w:rPr>
            </w:pPr>
            <w:r>
              <w:rPr>
                <w:rFonts w:hint="eastAsia" w:ascii="仿宋_GB2312" w:hAnsi="仿宋_GB2312" w:cs="仿宋_GB2312"/>
                <w:kern w:val="0"/>
                <w:sz w:val="24"/>
                <w:szCs w:val="24"/>
              </w:rPr>
              <w:t>部分采纳。纳统时间将在申请指南中具体体现，按相关政策要求规定。</w:t>
            </w:r>
          </w:p>
        </w:tc>
      </w:tr>
      <w:tr>
        <w:tblPrEx>
          <w:tblLayout w:type="fixed"/>
          <w:tblCellMar>
            <w:top w:w="0" w:type="dxa"/>
            <w:left w:w="108" w:type="dxa"/>
            <w:bottom w:w="0" w:type="dxa"/>
            <w:right w:w="108" w:type="dxa"/>
          </w:tblCellMar>
        </w:tblPrEx>
        <w:trPr>
          <w:trHeight w:val="1039"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hint="eastAsia" w:ascii="仿宋_GB2312" w:hAnsi="仿宋_GB2312" w:cs="仿宋_GB2312"/>
                <w:kern w:val="0"/>
                <w:sz w:val="24"/>
                <w:szCs w:val="24"/>
              </w:rPr>
            </w:pPr>
            <w:r>
              <w:rPr>
                <w:rFonts w:hint="eastAsia" w:ascii="仿宋_GB2312" w:hAnsi="仿宋_GB2312" w:cs="仿宋_GB2312"/>
                <w:kern w:val="0"/>
                <w:sz w:val="24"/>
                <w:szCs w:val="24"/>
              </w:rPr>
              <w:t>4</w:t>
            </w:r>
          </w:p>
        </w:tc>
        <w:tc>
          <w:tcPr>
            <w:tcW w:w="2197" w:type="dxa"/>
            <w:tcBorders>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sz w:val="24"/>
                <w:szCs w:val="24"/>
              </w:rPr>
              <w:t>华强方特（深圳）动漫有限公司</w:t>
            </w:r>
          </w:p>
        </w:tc>
        <w:tc>
          <w:tcPr>
            <w:tcW w:w="7215" w:type="dxa"/>
            <w:tcBorders>
              <w:top w:val="single" w:color="auto" w:sz="4" w:space="0"/>
              <w:left w:val="nil"/>
              <w:bottom w:val="single" w:color="auto" w:sz="4" w:space="0"/>
              <w:right w:val="single" w:color="auto" w:sz="4" w:space="0"/>
            </w:tcBorders>
            <w:noWrap w:val="0"/>
            <w:vAlign w:val="center"/>
          </w:tcPr>
          <w:p>
            <w:pPr>
              <w:widowControl/>
              <w:spacing w:line="30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1.建议国内市场开拓资助展会目录《深圳市国内重点经贸科技类展会目录一览表》由参加领域专业经贸类展会的参展商进行备案，择取有影响力的国内经贸科技类展会予以资助。</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rPr>
                <w:rFonts w:hint="eastAsia" w:ascii="仿宋_GB2312" w:hAnsi="仿宋_GB2312" w:cs="仿宋_GB2312"/>
                <w:kern w:val="0"/>
                <w:sz w:val="24"/>
                <w:szCs w:val="24"/>
              </w:rPr>
            </w:pPr>
            <w:r>
              <w:rPr>
                <w:rFonts w:hint="eastAsia" w:ascii="仿宋_GB2312" w:hAnsi="仿宋_GB2312" w:cs="仿宋_GB2312"/>
                <w:kern w:val="0"/>
                <w:sz w:val="24"/>
                <w:szCs w:val="24"/>
              </w:rPr>
              <w:t>不采纳。理由：纳入展会目录的展会需具备基本的申请条件，包括展会面积、深圳参展企业数量和面积等指标，且需要提供相关的申请材料。参展企业不了解全市参展企业情况，无法判断所推荐展会是否具备申请条件，亦无法提供相应的申请材料。</w:t>
            </w:r>
          </w:p>
        </w:tc>
      </w:tr>
      <w:tr>
        <w:tblPrEx>
          <w:tblLayout w:type="fixed"/>
          <w:tblCellMar>
            <w:top w:w="0" w:type="dxa"/>
            <w:left w:w="108" w:type="dxa"/>
            <w:bottom w:w="0" w:type="dxa"/>
            <w:right w:w="108" w:type="dxa"/>
          </w:tblCellMar>
        </w:tblPrEx>
        <w:trPr>
          <w:trHeight w:val="1650"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hint="eastAsia" w:ascii="仿宋_GB2312" w:hAnsi="仿宋_GB2312" w:cs="仿宋_GB2312"/>
                <w:kern w:val="0"/>
                <w:sz w:val="24"/>
                <w:szCs w:val="24"/>
              </w:rPr>
            </w:pPr>
            <w:r>
              <w:rPr>
                <w:rFonts w:hint="eastAsia" w:ascii="仿宋_GB2312" w:hAnsi="仿宋_GB2312" w:cs="仿宋_GB2312"/>
                <w:kern w:val="0"/>
                <w:sz w:val="24"/>
                <w:szCs w:val="24"/>
              </w:rPr>
              <w:t>5</w:t>
            </w:r>
          </w:p>
        </w:tc>
        <w:tc>
          <w:tcPr>
            <w:tcW w:w="2197" w:type="dxa"/>
            <w:vMerge w:val="restart"/>
            <w:tcBorders>
              <w:left w:val="nil"/>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sz w:val="24"/>
                <w:szCs w:val="24"/>
              </w:rPr>
            </w:pPr>
            <w:r>
              <w:rPr>
                <w:rFonts w:hint="eastAsia" w:ascii="仿宋_GB2312" w:hAnsi="仿宋_GB2312" w:cs="仿宋_GB2312"/>
                <w:sz w:val="24"/>
                <w:szCs w:val="24"/>
              </w:rPr>
              <w:t>华强方特（深圳）动漫有限公司</w:t>
            </w:r>
          </w:p>
        </w:tc>
        <w:tc>
          <w:tcPr>
            <w:tcW w:w="7215" w:type="dxa"/>
            <w:tcBorders>
              <w:top w:val="single" w:color="auto" w:sz="4" w:space="0"/>
              <w:left w:val="nil"/>
              <w:bottom w:val="single" w:color="auto" w:sz="4" w:space="0"/>
              <w:right w:val="single" w:color="auto" w:sz="4" w:space="0"/>
            </w:tcBorders>
            <w:noWrap w:val="0"/>
            <w:vAlign w:val="center"/>
          </w:tcPr>
          <w:p>
            <w:pPr>
              <w:widowControl/>
              <w:spacing w:line="30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2.建议将以下展会纳入展会资助目录：（1）中国（深圳）国际文化产业博览交易会，（2）中国国际动漫节，（3）全球授权展·中国站，（4）上海电视节。</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rPr>
                <w:rFonts w:hint="eastAsia" w:ascii="仿宋_GB2312" w:hAnsi="仿宋_GB2312" w:cs="仿宋_GB2312"/>
                <w:kern w:val="0"/>
                <w:sz w:val="24"/>
                <w:szCs w:val="24"/>
              </w:rPr>
            </w:pPr>
            <w:r>
              <w:rPr>
                <w:rFonts w:hint="eastAsia" w:ascii="仿宋_GB2312" w:hAnsi="仿宋_GB2312" w:cs="仿宋_GB2312"/>
                <w:kern w:val="0"/>
                <w:sz w:val="24"/>
                <w:szCs w:val="24"/>
              </w:rPr>
              <w:t>部分采纳。相关展会的主办或承办单位可按照我局每年公布的展会目录申请通知提出申请，按照相关程序审批通过后，可纳入年度展会目录。</w:t>
            </w:r>
          </w:p>
        </w:tc>
      </w:tr>
      <w:tr>
        <w:tblPrEx>
          <w:tblLayout w:type="fixed"/>
          <w:tblCellMar>
            <w:top w:w="0" w:type="dxa"/>
            <w:left w:w="108" w:type="dxa"/>
            <w:bottom w:w="0" w:type="dxa"/>
            <w:right w:w="108" w:type="dxa"/>
          </w:tblCellMar>
        </w:tblPrEx>
        <w:trPr>
          <w:trHeight w:val="1875"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ascii="仿宋_GB2312" w:hAnsi="仿宋_GB2312" w:cs="仿宋_GB2312"/>
                <w:kern w:val="0"/>
                <w:sz w:val="24"/>
                <w:szCs w:val="24"/>
              </w:rPr>
            </w:pPr>
            <w:r>
              <w:rPr>
                <w:rFonts w:hint="eastAsia" w:ascii="仿宋_GB2312" w:hAnsi="仿宋_GB2312" w:cs="仿宋_GB2312"/>
                <w:kern w:val="0"/>
                <w:sz w:val="24"/>
                <w:szCs w:val="24"/>
              </w:rPr>
              <w:t>6</w:t>
            </w:r>
          </w:p>
        </w:tc>
        <w:tc>
          <w:tcPr>
            <w:tcW w:w="2197" w:type="dxa"/>
            <w:vMerge w:val="continue"/>
            <w:tcBorders>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sz w:val="24"/>
                <w:szCs w:val="24"/>
              </w:rPr>
            </w:pPr>
          </w:p>
        </w:tc>
        <w:tc>
          <w:tcPr>
            <w:tcW w:w="7215" w:type="dxa"/>
            <w:tcBorders>
              <w:top w:val="single" w:color="auto" w:sz="4" w:space="0"/>
              <w:left w:val="nil"/>
              <w:bottom w:val="single" w:color="auto" w:sz="4" w:space="0"/>
              <w:right w:val="single" w:color="auto" w:sz="4" w:space="0"/>
            </w:tcBorders>
            <w:noWrap w:val="0"/>
            <w:vAlign w:val="center"/>
          </w:tcPr>
          <w:p>
            <w:pPr>
              <w:widowControl/>
              <w:spacing w:line="30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3，建议对展会所发生的所有费用按比例予以资助，切实减轻企业市场开拓成本压力，使企业获得真正的政策实惠。</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rPr>
                <w:rFonts w:hint="eastAsia" w:ascii="仿宋_GB2312" w:hAnsi="仿宋_GB2312" w:cs="仿宋_GB2312"/>
                <w:kern w:val="0"/>
                <w:sz w:val="24"/>
                <w:szCs w:val="24"/>
              </w:rPr>
            </w:pPr>
            <w:r>
              <w:rPr>
                <w:rFonts w:hint="eastAsia" w:ascii="仿宋_GB2312" w:hAnsi="仿宋_GB2312" w:cs="仿宋_GB2312"/>
                <w:kern w:val="0"/>
                <w:sz w:val="24"/>
                <w:szCs w:val="24"/>
              </w:rPr>
              <w:t>不采纳。理由：专项资金资助范围有严格政策规定，目前无政策依据放宽资助范围；政府财政资金预算有限，更多体现的是政策导向作用，而不是降低企业经营成本的重要手段。</w:t>
            </w:r>
          </w:p>
        </w:tc>
      </w:tr>
      <w:tr>
        <w:tblPrEx>
          <w:tblLayout w:type="fixed"/>
          <w:tblCellMar>
            <w:top w:w="0" w:type="dxa"/>
            <w:left w:w="108" w:type="dxa"/>
            <w:bottom w:w="0" w:type="dxa"/>
            <w:right w:w="108" w:type="dxa"/>
          </w:tblCellMar>
        </w:tblPrEx>
        <w:trPr>
          <w:trHeight w:val="2790"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hint="eastAsia" w:ascii="仿宋_GB2312" w:hAnsi="仿宋_GB2312" w:cs="仿宋_GB2312"/>
                <w:kern w:val="0"/>
                <w:sz w:val="24"/>
                <w:szCs w:val="24"/>
              </w:rPr>
            </w:pPr>
            <w:r>
              <w:rPr>
                <w:rFonts w:hint="eastAsia" w:ascii="仿宋_GB2312" w:hAnsi="仿宋_GB2312" w:cs="仿宋_GB2312"/>
                <w:kern w:val="0"/>
                <w:sz w:val="24"/>
                <w:szCs w:val="24"/>
              </w:rPr>
              <w:t>7</w:t>
            </w:r>
          </w:p>
        </w:tc>
        <w:tc>
          <w:tcPr>
            <w:tcW w:w="21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sz w:val="24"/>
                <w:szCs w:val="24"/>
              </w:rPr>
              <w:t>深圳市柏星龙创意包装股份有限公司</w:t>
            </w:r>
          </w:p>
        </w:tc>
        <w:tc>
          <w:tcPr>
            <w:tcW w:w="7215"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建议增加企业信息化扶持项目，目前越来越多的企业重视信息化建设，不仅在人员上有大量投入，在硬件及软件上的投入也不断增加，结合社会科技发展和进步，有效利用信息化软件、硬件的应用配合公司的高速发展。</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部分采纳。原企业信息化建设资助已实施12年，原有方式在我市中小企业中已非常普及，财政资助的引导作用已逐渐弱化。根据国家及我市近年有关文件精神，拟将信息化建设项目资助方向调整为奖励云应用示范企业，以推动各行业企业加快数字化、网络化、智能化转型。</w:t>
            </w:r>
          </w:p>
        </w:tc>
      </w:tr>
      <w:tr>
        <w:tblPrEx>
          <w:tblLayout w:type="fixed"/>
          <w:tblCellMar>
            <w:top w:w="0" w:type="dxa"/>
            <w:left w:w="108" w:type="dxa"/>
            <w:bottom w:w="0" w:type="dxa"/>
            <w:right w:w="108" w:type="dxa"/>
          </w:tblCellMar>
        </w:tblPrEx>
        <w:trPr>
          <w:trHeight w:val="1010" w:hRule="atLeast"/>
        </w:trPr>
        <w:tc>
          <w:tcPr>
            <w:tcW w:w="1006" w:type="dxa"/>
            <w:tcBorders>
              <w:top w:val="nil"/>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hint="eastAsia" w:ascii="仿宋_GB2312" w:hAnsi="仿宋_GB2312" w:cs="仿宋_GB2312"/>
                <w:kern w:val="0"/>
                <w:sz w:val="24"/>
                <w:szCs w:val="24"/>
              </w:rPr>
            </w:pPr>
            <w:r>
              <w:rPr>
                <w:rFonts w:hint="eastAsia" w:ascii="仿宋_GB2312" w:hAnsi="仿宋_GB2312" w:cs="仿宋_GB2312"/>
                <w:kern w:val="0"/>
                <w:sz w:val="24"/>
                <w:szCs w:val="24"/>
              </w:rPr>
              <w:t>8</w:t>
            </w:r>
          </w:p>
        </w:tc>
        <w:tc>
          <w:tcPr>
            <w:tcW w:w="2197"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sz w:val="24"/>
                <w:szCs w:val="24"/>
              </w:rPr>
              <w:t>深圳罗马仕科技有限公司</w:t>
            </w:r>
          </w:p>
        </w:tc>
        <w:tc>
          <w:tcPr>
            <w:tcW w:w="7215"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宋体" w:hAnsi="宋体" w:eastAsia="宋体" w:cs="宋体"/>
                <w:kern w:val="0"/>
                <w:sz w:val="24"/>
                <w:szCs w:val="24"/>
              </w:rPr>
              <w:t> </w:t>
            </w:r>
            <w:r>
              <w:rPr>
                <w:rFonts w:hint="eastAsia" w:ascii="仿宋_GB2312" w:hAnsi="仿宋_GB2312" w:cs="仿宋_GB2312"/>
                <w:kern w:val="0"/>
                <w:sz w:val="24"/>
                <w:szCs w:val="24"/>
              </w:rPr>
              <w:t>建议继续对企业信息化建设投入进行扶持，鼓励企业全面提升竞争力。</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部分采纳。同上。</w:t>
            </w:r>
          </w:p>
        </w:tc>
      </w:tr>
      <w:tr>
        <w:tblPrEx>
          <w:tblLayout w:type="fixed"/>
          <w:tblCellMar>
            <w:top w:w="0" w:type="dxa"/>
            <w:left w:w="108" w:type="dxa"/>
            <w:bottom w:w="0" w:type="dxa"/>
            <w:right w:w="108" w:type="dxa"/>
          </w:tblCellMar>
        </w:tblPrEx>
        <w:trPr>
          <w:trHeight w:val="1520"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hint="eastAsia" w:ascii="仿宋_GB2312" w:hAnsi="仿宋_GB2312" w:cs="仿宋_GB2312"/>
                <w:kern w:val="0"/>
                <w:sz w:val="24"/>
                <w:szCs w:val="24"/>
              </w:rPr>
            </w:pPr>
            <w:r>
              <w:rPr>
                <w:rFonts w:hint="eastAsia" w:ascii="仿宋_GB2312" w:hAnsi="仿宋_GB2312" w:cs="仿宋_GB2312"/>
                <w:kern w:val="0"/>
                <w:sz w:val="24"/>
                <w:szCs w:val="24"/>
              </w:rPr>
              <w:t>9</w:t>
            </w:r>
          </w:p>
        </w:tc>
        <w:tc>
          <w:tcPr>
            <w:tcW w:w="2197" w:type="dxa"/>
            <w:vMerge w:val="restart"/>
            <w:tcBorders>
              <w:top w:val="single" w:color="auto" w:sz="4" w:space="0"/>
              <w:left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sz w:val="24"/>
                <w:szCs w:val="24"/>
              </w:rPr>
              <w:t>深圳市华信天线技术有限公司</w:t>
            </w:r>
          </w:p>
        </w:tc>
        <w:tc>
          <w:tcPr>
            <w:tcW w:w="7215" w:type="dxa"/>
            <w:tcBorders>
              <w:top w:val="nil"/>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1.建议对年度“国内重点经贸科技类展会”目录进行广泛公开征集，并明确入围条件；不仅局限于行业协会推荐。</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采纳。每年我局均在官网公布年度国内重点经贸科技类展会目录的申请通知，公开征集目录申请，符合条件的展会承办机构均可申请。</w:t>
            </w:r>
          </w:p>
        </w:tc>
      </w:tr>
      <w:tr>
        <w:tblPrEx>
          <w:tblLayout w:type="fixed"/>
          <w:tblCellMar>
            <w:top w:w="0" w:type="dxa"/>
            <w:left w:w="108" w:type="dxa"/>
            <w:bottom w:w="0" w:type="dxa"/>
            <w:right w:w="108" w:type="dxa"/>
          </w:tblCellMar>
        </w:tblPrEx>
        <w:trPr>
          <w:trHeight w:val="1330"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ascii="仿宋_GB2312" w:hAnsi="仿宋_GB2312" w:cs="仿宋_GB2312"/>
                <w:kern w:val="0"/>
                <w:sz w:val="24"/>
                <w:szCs w:val="24"/>
              </w:rPr>
            </w:pPr>
            <w:r>
              <w:rPr>
                <w:rFonts w:hint="eastAsia" w:ascii="仿宋_GB2312" w:hAnsi="仿宋_GB2312" w:cs="仿宋_GB2312"/>
                <w:kern w:val="0"/>
                <w:sz w:val="24"/>
                <w:szCs w:val="24"/>
              </w:rPr>
              <w:t>10</w:t>
            </w:r>
          </w:p>
        </w:tc>
        <w:tc>
          <w:tcPr>
            <w:tcW w:w="2197" w:type="dxa"/>
            <w:vMerge w:val="continue"/>
            <w:tcBorders>
              <w:left w:val="single" w:color="auto" w:sz="4" w:space="0"/>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p>
        </w:tc>
        <w:tc>
          <w:tcPr>
            <w:tcW w:w="721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2.建议加大对新兴产业专业展会的支持，放宽展会目录限制，对符合战略新兴产业条件的企业参加国内专业展会给予补贴，不仅限于“国内重点经贸科技类展会”。</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不采纳。理由：企业国内市场开拓项目对所有行业国内重点展会均支持，不限于战略新兴产业，体现公平竞争原则。</w:t>
            </w:r>
          </w:p>
        </w:tc>
      </w:tr>
      <w:tr>
        <w:tblPrEx>
          <w:tblLayout w:type="fixed"/>
          <w:tblCellMar>
            <w:top w:w="0" w:type="dxa"/>
            <w:left w:w="108" w:type="dxa"/>
            <w:bottom w:w="0" w:type="dxa"/>
            <w:right w:w="108" w:type="dxa"/>
          </w:tblCellMar>
        </w:tblPrEx>
        <w:trPr>
          <w:trHeight w:val="2790"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ascii="仿宋_GB2312" w:hAnsi="仿宋_GB2312" w:cs="仿宋_GB2312"/>
                <w:kern w:val="0"/>
                <w:sz w:val="24"/>
                <w:szCs w:val="24"/>
              </w:rPr>
            </w:pPr>
            <w:r>
              <w:rPr>
                <w:rFonts w:hint="eastAsia" w:ascii="仿宋_GB2312" w:hAnsi="仿宋_GB2312" w:cs="仿宋_GB2312"/>
                <w:kern w:val="0"/>
                <w:sz w:val="24"/>
                <w:szCs w:val="24"/>
              </w:rPr>
              <w:t>11</w:t>
            </w:r>
          </w:p>
        </w:tc>
        <w:tc>
          <w:tcPr>
            <w:tcW w:w="219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0" w:firstLineChars="0"/>
              <w:jc w:val="center"/>
              <w:rPr>
                <w:rFonts w:hint="eastAsia" w:ascii="仿宋_GB2312" w:hAnsi="仿宋_GB2312" w:cs="仿宋_GB2312"/>
                <w:kern w:val="0"/>
                <w:sz w:val="24"/>
                <w:szCs w:val="24"/>
              </w:rPr>
            </w:pPr>
            <w:r>
              <w:rPr>
                <w:rFonts w:hint="eastAsia" w:ascii="仿宋_GB2312" w:hAnsi="仿宋_GB2312" w:cs="仿宋_GB2312"/>
                <w:kern w:val="0"/>
                <w:sz w:val="24"/>
                <w:szCs w:val="24"/>
              </w:rPr>
              <w:t>w</w:t>
            </w:r>
            <w:r>
              <w:rPr>
                <w:rFonts w:hint="eastAsia" w:ascii="宋体" w:hAnsi="宋体" w:eastAsia="宋体" w:cs="仿宋_GB2312"/>
                <w:kern w:val="0"/>
                <w:sz w:val="24"/>
                <w:szCs w:val="24"/>
                <w:lang w:bidi="ar"/>
              </w:rPr>
              <w:t>***</w:t>
            </w:r>
            <w:r>
              <w:rPr>
                <w:rFonts w:hint="eastAsia" w:ascii="仿宋_GB2312" w:hAnsi="仿宋_GB2312" w:cs="仿宋_GB2312"/>
                <w:kern w:val="0"/>
                <w:sz w:val="24"/>
                <w:szCs w:val="24"/>
              </w:rPr>
              <w:t>0@126.com</w:t>
            </w:r>
          </w:p>
        </w:tc>
        <w:tc>
          <w:tcPr>
            <w:tcW w:w="721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希望支持企业信息化建设，市工信局那边应用创新这一块，虽有部分属于运用信息化提升管理，优化流程这一块，门槛太高了，希望保留对中小企业的信息化建设的资助。</w:t>
            </w:r>
          </w:p>
        </w:tc>
        <w:tc>
          <w:tcPr>
            <w:tcW w:w="349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0" w:firstLineChars="0"/>
              <w:jc w:val="left"/>
              <w:rPr>
                <w:rFonts w:hint="eastAsia" w:ascii="仿宋_GB2312" w:hAnsi="仿宋_GB2312" w:cs="仿宋_GB2312"/>
                <w:kern w:val="0"/>
                <w:sz w:val="24"/>
                <w:szCs w:val="24"/>
              </w:rPr>
            </w:pPr>
            <w:r>
              <w:rPr>
                <w:rFonts w:hint="eastAsia" w:ascii="仿宋_GB2312" w:hAnsi="仿宋_GB2312" w:cs="仿宋_GB2312"/>
                <w:kern w:val="0"/>
                <w:sz w:val="24"/>
                <w:szCs w:val="24"/>
              </w:rPr>
              <w:t>部分采纳。原企业信息化建设资助已实施12年，原有方式在我市中小企业中已非常普及，财政资助的引导作用已逐渐弱化。根据国家及我市近年有关文件精神，拟将信息化建设项目资助方向调整为奖励云应用示范企业，以推动各行业企业加快数字化、网络化、智能化转型。</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160D3"/>
    <w:rsid w:val="65116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40" w:lineRule="exact"/>
      <w:ind w:firstLine="622" w:firstLineChars="20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rFonts w:eastAsia="仿宋_GB2312"/>
      <w:sz w:val="18"/>
    </w:rPr>
  </w:style>
  <w:style w:type="paragraph" w:styleId="3">
    <w:name w:val="header"/>
    <w:basedOn w:val="1"/>
    <w:uiPriority w:val="99"/>
    <w:pP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2019-09-06T13:13:00Z</dcterms:created>
  <dc:creator>lulu</dc:creator>
  <cp:lastModifiedBy>lulu</cp:lastModifiedBy>
  <dcterms:modified xsi:type="dcterms:W3CDTF">2019-09-06T13:13:30Z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