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20190034</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关于大力扶持创新型中小企业发展的提案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杨浩勃</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市规划和自然资源局,市科技创新委员会,市地方金融监督管理局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中小企业是实施“大众创业、万众创新”的重要载体，在增加就业、促进经济增长、科技创新与社会和谐稳定等方面具有不可替代的作用，对国民经济和社会发展具有重要的战略意义。因此，支持中小企业健康发展、做大做强，既是深圳保持经济稳中有进的重大战略任务，也是对培育更多龙头大企业政策措施的进一步完善。
</w:t>
            </w:r>
            <w:r>
              <w:rPr>
                <w:rFonts w:ascii="华文仿宋" w:eastAsia="华文仿宋" w:hAnsi="华文仿宋"/>
                <w:sz w:val="28"/>
                <w:szCs w:val="28"/>
              </w:rPr>
              <w:br/>
            </w:r>
            <w:r>
              <w:rPr>
                <w:rFonts w:ascii="华文仿宋" w:eastAsia="华文仿宋" w:hAnsi="华文仿宋"/>
                <w:sz w:val="28"/>
                <w:szCs w:val="28"/>
              </w:rPr>
              <w:t>　　市委市政府高度重视中小企业发展，不断改善创新创业环境。但目前我市的中小企业存在技术水平有待提高、经营负担依然较重、融资难问题较为突出、生存发展空间一再挤压、政府政策支持尚显不足等问题。
</w:t>
            </w:r>
            <w:r>
              <w:rPr>
                <w:rFonts w:ascii="华文仿宋" w:eastAsia="华文仿宋" w:hAnsi="华文仿宋"/>
                <w:sz w:val="28"/>
                <w:szCs w:val="28"/>
              </w:rPr>
              <w:br/>
            </w:r>
            <w:r>
              <w:rPr>
                <w:rFonts w:ascii="华文仿宋" w:eastAsia="华文仿宋" w:hAnsi="华文仿宋"/>
                <w:sz w:val="28"/>
                <w:szCs w:val="28"/>
              </w:rPr>
              <w:t>　　一、技术水平有待提高。中小企业发展高科技产业很大程度上还是沿袭了加工贸易方式。以可穿戴设备为例，深圳生产制造了全球80%左右的可穿戴产品。但是，大多数企业缺乏创新能力，处于智能可穿戴设备产业价值链的低端。即使一些有研发能力的企业，也主要集中在方案设计和ODM层面，而核心芯片和关键算法则掌握在欧美日厂商手中。智能装备、机器人、无人机等产业的情况大同小异。
</w:t>
            </w:r>
            <w:r>
              <w:rPr>
                <w:rFonts w:ascii="华文仿宋" w:eastAsia="华文仿宋" w:hAnsi="华文仿宋"/>
                <w:sz w:val="28"/>
                <w:szCs w:val="28"/>
              </w:rPr>
              <w:br/>
            </w:r>
            <w:r>
              <w:rPr>
                <w:rFonts w:ascii="华文仿宋" w:eastAsia="华文仿宋" w:hAnsi="华文仿宋"/>
                <w:sz w:val="28"/>
                <w:szCs w:val="28"/>
              </w:rPr>
              <w:t>　　二、经营负担依然较重。第一，中小企业普遍反映税负压力大，特别是在经济新常态的情况下，税收刚性反而加大。第二，近年来，深圳最低工资持续上调，企业的用工成本随之上涨，社保基数也水涨船高。第三，钢材、铝材、玻璃、石油等原辅材料和能源价格上涨较快，企业生产成本增加。
</w:t>
            </w:r>
            <w:r>
              <w:rPr>
                <w:rFonts w:ascii="华文仿宋" w:eastAsia="华文仿宋" w:hAnsi="华文仿宋"/>
                <w:sz w:val="28"/>
                <w:szCs w:val="28"/>
              </w:rPr>
              <w:br/>
            </w:r>
            <w:r>
              <w:rPr>
                <w:rFonts w:ascii="华文仿宋" w:eastAsia="华文仿宋" w:hAnsi="华文仿宋"/>
                <w:sz w:val="28"/>
                <w:szCs w:val="28"/>
              </w:rPr>
              <w:t>　　三、融资难问题较为突出。银行惜贷、压贷、抽贷、断贷等现象时有发生；中小企业直接找银行贷不到款，通过中介机构向银行贷款，除贷款利率普遍比基准利率上浮30%以上外还要支付一笔中介费，进一步提高了中小企业贷款成本。中小企业大部分是轻资产，银行为了降低贷款风险，在中小企业已有信用担保的基础上，还要求个人抵押物担保，企业家为了企业发展不得不押上个人身家，严重挫伤中小企业发展的信心，投资意愿总体偏弱。
</w:t>
            </w:r>
            <w:r>
              <w:rPr>
                <w:rFonts w:ascii="华文仿宋" w:eastAsia="华文仿宋" w:hAnsi="华文仿宋"/>
                <w:sz w:val="28"/>
                <w:szCs w:val="28"/>
              </w:rPr>
              <w:br/>
            </w:r>
            <w:r>
              <w:rPr>
                <w:rFonts w:ascii="华文仿宋" w:eastAsia="华文仿宋" w:hAnsi="华文仿宋"/>
                <w:sz w:val="28"/>
                <w:szCs w:val="28"/>
              </w:rPr>
              <w:t>　　四、生存发展空间一再挤压。市场主体主导的旧工业区城市更新，业主基于利益最大化的考虑，更倾向于将旧工业区改造为商住功能，其次是办公功能。也就是说，城市更新不但没有增加产业空间、反而压缩了产业空间。一方面，大批旧工业区更新改造成办公、商住楼宇，制造业空间被侵蚀；另一方面，因厂房物业需求变大，租金价格被推高，大大增加了企业成本。尤其是地铁沿线的工业厂房业主，在利益驱动下，经常单方面撕毁物业出租合同、驱赶中小企业，私自将工业厂房改造成为公寓。以宝安区的桃花源科技创新园为例，租金也从2016年的45元/平方米，上涨到现在的95元/平方米，租金翻了一番多，造成60多家孵化企业离开，约占孵化企业的50%左右。</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一是明确中小企业扶持重点。首先，重点扶持“瞪羚企业”。“瞪羚企业”是指创业初步成功、已跨过死亡谷、进入高成长期的企业，其数量多少已成为国际上衡量区域创新创业和经济景气的重要指标。目前，中关村、广州、武汉、杭州等城市均密集出台了扶持“瞪羚企业”的措施。建议我市每年认定的100家中小微成长企业评价标准与科技部“瞪羚企业”体系接轨，不设名额上限，对符合条件的中小企业均予以扶持。
</w:t>
            </w:r>
            <w:r>
              <w:rPr>
                <w:rFonts w:ascii="华文仿宋" w:eastAsia="华文仿宋" w:hAnsi="华文仿宋"/>
                <w:sz w:val="28"/>
                <w:szCs w:val="28"/>
              </w:rPr>
              <w:br/>
            </w:r>
            <w:r>
              <w:rPr>
                <w:rFonts w:ascii="华文仿宋" w:eastAsia="华文仿宋" w:hAnsi="华文仿宋"/>
                <w:sz w:val="28"/>
                <w:szCs w:val="28"/>
              </w:rPr>
              <w:t>　　二是破解中小企业资金难题。第一，完善中小企业信用担保体系。设立低费率的政府性担保基金，推动中小企业信用担保代偿补偿机制建设，建立银行与担保机构间合理的贷款风险分担机制。第二，发展设备金融租赁业务。产业升级必然带来设备更新，由于银行只做短期流动资金贷款，中小企业不得已只能挪用流动资金采购先进装备，从而造成资金困难。建议市属国企开展设备金融租赁业务，一方面可以解决我市中小企业引进先进装备资金不足问题，另一方面也可以为我市的设备生产商扩大市场提供强有力的金融支持，一举两得。
</w:t>
            </w:r>
            <w:r>
              <w:rPr>
                <w:rFonts w:ascii="华文仿宋" w:eastAsia="华文仿宋" w:hAnsi="华文仿宋"/>
                <w:sz w:val="28"/>
                <w:szCs w:val="28"/>
              </w:rPr>
              <w:br/>
            </w:r>
            <w:r>
              <w:rPr>
                <w:rFonts w:ascii="华文仿宋" w:eastAsia="华文仿宋" w:hAnsi="华文仿宋"/>
                <w:sz w:val="28"/>
                <w:szCs w:val="28"/>
              </w:rPr>
              <w:t>　　三是提升园区孵化能力。第一，加强创客空间、孵化器标准化建设。对公共空间、公共平台、公共配套、公共网络以及公共服务等应有明确的量化要求，并根据综合服务水平、孵化企业数量质量开展星级评价活动，不同的星级享受不同的政策性补贴，打破目前政策性补贴“大锅饭”的现象。第二，加强园区运行后的跟踪管理。对于享受政策房租补贴园区，凡出现与报批空间功能不符、擅自更改空间功能以及减少公共服务设施的，视情况予以书面提示、黄牌警告和停止补贴等措施。第三，实施大孵化器战略。在条件成熟的产业园区布局一批科技加速器，并出台相关扶持政策，保障孵化成功的企业、创新团队以及科技成果产业化项目的发展空间，为深圳产业可持续发展不断增加新的动力。第四，切实减轻企业租金负担。政府每年出台园区物业租金、管理费指导价格，严禁乱涨租金行为。
</w:t>
            </w:r>
            <w:r>
              <w:rPr>
                <w:rFonts w:ascii="华文仿宋" w:eastAsia="华文仿宋" w:hAnsi="华文仿宋"/>
                <w:sz w:val="28"/>
                <w:szCs w:val="28"/>
              </w:rPr>
              <w:br/>
            </w:r>
            <w:r>
              <w:rPr>
                <w:rFonts w:ascii="华文仿宋" w:eastAsia="华文仿宋" w:hAnsi="华文仿宋"/>
                <w:sz w:val="28"/>
                <w:szCs w:val="28"/>
              </w:rPr>
              <w:t>　　四是拓展产业发展空间。第一，保障制造业发展空间。严控工业红线内“工改商”、“工改住”项目。对“工改工”拆旧建新项目，规定必须建设与拆旧建新前等面积的厂房，新增容积率部分方可建设研发用房和商住配套用房。同时，建议政府降低“工改工”项目补交地价标准，引导和鼓励旧工业区“工改工”城市更新。第二，探索“飞地经济”发展模式。深中通道建成后，深圳的部分产能不可避免地向珠江西岸转移。建议市政府加强与西岸城市的产业分工合作，借鉴顺德—英德经济合作区经验，由市属国企出面在西岸布局产业合作工业园，引导产能有序转移、入园发展。第三，加快环境产业园规划建设。电镀、线路板、储能电池材料等企业大多是中小企业，很难承受单独治污的成本，发达城市大多通过建设环保产业园，通过集中生产、集中治污来解决。建议市政府引进国际最先进的治污技术，规划建设高标准的环境产业园，彻底解决长期困扰深圳的工业污染问题。
</w:t>
            </w:r>
            <w:r>
              <w:rPr>
                <w:rFonts w:ascii="华文仿宋" w:eastAsia="华文仿宋" w:hAnsi="华文仿宋"/>
                <w:sz w:val="28"/>
                <w:szCs w:val="28"/>
              </w:rPr>
              <w:br/>
            </w:r>
            <w:r>
              <w:rPr>
                <w:rFonts w:ascii="华文仿宋" w:eastAsia="华文仿宋" w:hAnsi="华文仿宋"/>
                <w:sz w:val="28"/>
                <w:szCs w:val="28"/>
              </w:rPr>
              <w:t>　　五是提高中小企业素质。第一，推进中小企业工业化与信息化融合。引导中小企业积极利用“互联网+”， 发展众创、众包、众扶、众筹等新模式。支持互联网企业建设面向中小企业的“双创”服务平台，加大推广应用。第二，促进大中小企业融通发展。以网络媒体、小型展会等方式，加强对我市中小企业专项技术、先进工艺、优势产品的宣传推介，促成大企业、大项目优先使用我市中小企业优质零部件、元器件、配套产品和配套服务，从而使中小企业纳入大企业供应链，促进中小企业稳定发展。第三，鼓励中小企业技术改造。对中小企业以金融租赁等方式采购先进装备和技术，按银行贷款贴息政策给予支持，降低中小企业采购成本。第四，加强中小企业人才培训。探索订单培养等新型校企合作人才培养模式，广泛推行德国“双元制”职业教育，为我市重点产业领域培育高质量技能人才。</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一是明确中小企业扶持重点。</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二是破解中小企业资金难题。</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三是提升园区孵化能力。</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四是拓展产业发展空间。</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五是提高中小企业素质。</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杨浩勃(女),宝安区政协副主席,13392188661,29998688,宝安区政府大院7楼733室,</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市地方金融监督管理局(未填写),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