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20190465</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关于新形势下，如何支持港澳制造企业在深圳发展和升级的建议</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江展威</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市商务局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市工业和信息化局,市委大湾区办,市规划和自然资源局,市委组织部,市委编办</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深圳本是广东宝安县属下的小渔村，制造业基础几近空白，是靠改革开放引 进“三来一补”产业发展起来的。深圳毗邻港澳，文化相同、情感相容、血缘相亲，深圳经济特区的建立为广大港澳企业搭拓展了广阔空间，率先来到深圳投资创业，说深圳市制造业是依靠港澳企业发展起来的一点也不为过。但这些最初投资深圳的港澳企业已经不适应新的形势了，后继乏力，如果政府不施加必要的支持，广大港澳企业的出路唯有外迁、转型、破产清算，对于深圳市制造业的发展是不利的。港澳企业用工数量庞大，如果任由其外迁、转型或破产，会导致大批工人失业，不仅增加政府负担，而且还会助长不稳定因素；而港澳企业大多生产一些基础零配件或材料，如果大量外迁、转型或者破产，深圳制造业所需要的很多零配件或材料只能到周边甚至更远的地区采购，必然增加企业的物流成本，最终带动整体生产成本上升，降低产品竞争力。
</w:t>
            </w:r>
            <w:r>
              <w:rPr>
                <w:rFonts w:ascii="华文仿宋" w:eastAsia="华文仿宋" w:hAnsi="华文仿宋"/>
                <w:sz w:val="28"/>
                <w:szCs w:val="28"/>
              </w:rPr>
              <w:br/>
            </w:r>
            <w:r>
              <w:rPr>
                <w:rFonts w:ascii="华文仿宋" w:eastAsia="华文仿宋" w:hAnsi="华文仿宋"/>
                <w:sz w:val="28"/>
                <w:szCs w:val="28"/>
              </w:rPr>
              <w:t>　　港澳制造企业是深圳制造业的重要组成部分，整体制造业面临的问题也是港澳制造业面临的问题。
</w:t>
            </w:r>
            <w:r>
              <w:rPr>
                <w:rFonts w:ascii="华文仿宋" w:eastAsia="华文仿宋" w:hAnsi="华文仿宋"/>
                <w:sz w:val="28"/>
                <w:szCs w:val="28"/>
              </w:rPr>
              <w:br/>
            </w:r>
            <w:r>
              <w:rPr>
                <w:rFonts w:ascii="华文仿宋" w:eastAsia="华文仿宋" w:hAnsi="华文仿宋"/>
                <w:sz w:val="28"/>
                <w:szCs w:val="28"/>
              </w:rPr>
              <w:t>　　深圳市制造业在新形势下面临最根本的问题是空间狭小导致的土地价格高昂，推动着相关要素成本的过快上涨，制造业首当其害。深圳市幅员1996平方公里，2017年工业总产值9266亿元，每平方公里贡献工业产值4.642亿元，相当于北京市的14.37倍、上海市的3.181倍、广州市的5.73倍，是一线城市中最高的。加上深圳市属于多山地区，且有些地方还是水源保护地，可供开发的土地并不多。据了解深圳市国土开发强度已接近50%，基本没有成片可供开发的土地，工业用地的矛盾更甚。土地供需的紧张必然推动土地价格上涨，2017年深圳市商品房均价已高达52266元/平方米，比上海市还高出近800元/平米。
</w:t>
            </w:r>
            <w:r>
              <w:rPr>
                <w:rFonts w:ascii="华文仿宋" w:eastAsia="华文仿宋" w:hAnsi="华文仿宋"/>
                <w:sz w:val="28"/>
                <w:szCs w:val="28"/>
              </w:rPr>
              <w:br/>
            </w:r>
            <w:r>
              <w:rPr>
                <w:rFonts w:ascii="华文仿宋" w:eastAsia="华文仿宋" w:hAnsi="华文仿宋"/>
                <w:sz w:val="28"/>
                <w:szCs w:val="28"/>
              </w:rPr>
              <w:t>　　1.首先土地供应紧张，工业用地价格自然会水涨船高。据了解，2018年上半年，反映工业用地价格水平的深圳市工业用地地价水平值275万元/亩，领跑全国，远高于北京、上海，直接推高了各行业用地成本，影响最大的非制造业莫属，因为制造业用地相对较多，但盈利水平相对有限，难以承受土地价格上涨带来的成本上升。
</w:t>
            </w:r>
            <w:r>
              <w:rPr>
                <w:rFonts w:ascii="华文仿宋" w:eastAsia="华文仿宋" w:hAnsi="华文仿宋"/>
                <w:sz w:val="28"/>
                <w:szCs w:val="28"/>
              </w:rPr>
              <w:br/>
            </w:r>
            <w:r>
              <w:rPr>
                <w:rFonts w:ascii="华文仿宋" w:eastAsia="华文仿宋" w:hAnsi="华文仿宋"/>
                <w:sz w:val="28"/>
                <w:szCs w:val="28"/>
              </w:rPr>
              <w:t>　　2.其次土地供应紧张，直接导致房价和房租的上涨。据了解，2017深圳市包括大量小产权房在内的平均月租价已超过26元/平方米，比2016年上涨了6.1%；商品房的租金则更高，像南山区，月房租最高的已达220元/平方米，罗湖区也已160元/平方米的水平。房租的上涨自然带动人们生活成本的上升，传导到企业就是用工成本的上涨。
</w:t>
            </w:r>
            <w:r>
              <w:rPr>
                <w:rFonts w:ascii="华文仿宋" w:eastAsia="华文仿宋" w:hAnsi="华文仿宋"/>
                <w:sz w:val="28"/>
                <w:szCs w:val="28"/>
              </w:rPr>
              <w:br/>
            </w:r>
            <w:r>
              <w:rPr>
                <w:rFonts w:ascii="华文仿宋" w:eastAsia="华文仿宋" w:hAnsi="华文仿宋"/>
                <w:sz w:val="28"/>
                <w:szCs w:val="28"/>
              </w:rPr>
              <w:t>　　二、基础人才流失严重。据了解，最近五年深圳市每年流失的基础人才近1万人，且有逐年上升的态势。这些流失的人才大都在35岁以下，接受过良好的教育，正处于人生的黄金年龄。人才的流失不仅降低了生产力，也增加企业的人力成本，更不利于稳定产品质量，提高生产和管理效率。
</w:t>
            </w:r>
            <w:r>
              <w:rPr>
                <w:rFonts w:ascii="华文仿宋" w:eastAsia="华文仿宋" w:hAnsi="华文仿宋"/>
                <w:sz w:val="28"/>
                <w:szCs w:val="28"/>
              </w:rPr>
              <w:br/>
            </w:r>
            <w:r>
              <w:rPr>
                <w:rFonts w:ascii="华文仿宋" w:eastAsia="华文仿宋" w:hAnsi="华文仿宋"/>
                <w:sz w:val="28"/>
                <w:szCs w:val="28"/>
              </w:rPr>
              <w:t>　　三、企业税费负担过重，严重侵蚀企业的盈利和发展动力。据测算，目前传统制造企业的税费负担已占营业收入30%~40%，加上人工、材料以及其他费用，企业的盈利已非常微波，传统制造业更是如此。
</w:t>
            </w:r>
            <w:r>
              <w:rPr>
                <w:rFonts w:ascii="华文仿宋" w:eastAsia="华文仿宋" w:hAnsi="华文仿宋"/>
                <w:sz w:val="28"/>
                <w:szCs w:val="28"/>
              </w:rPr>
              <w:br/>
            </w:r>
            <w:r>
              <w:rPr>
                <w:rFonts w:ascii="华文仿宋" w:eastAsia="华文仿宋" w:hAnsi="华文仿宋"/>
                <w:sz w:val="28"/>
                <w:szCs w:val="28"/>
              </w:rPr>
              <w:t>　　四、很多港澳企业是港店深厂模式，经营的是来料加工或代工，本来毛利率就很低。近几年恰逢世界经济格局调整，贸易保护主义、单边主义抬头以及深圳市房价上涨过快等，生产经营遭遇前所未有的困难。
</w:t>
            </w:r>
            <w:r>
              <w:rPr>
                <w:rFonts w:ascii="华文仿宋" w:eastAsia="华文仿宋" w:hAnsi="华文仿宋"/>
                <w:sz w:val="28"/>
                <w:szCs w:val="28"/>
              </w:rPr>
              <w:br/>
            </w:r>
            <w:r>
              <w:rPr>
                <w:rFonts w:ascii="华文仿宋" w:eastAsia="华文仿宋" w:hAnsi="华文仿宋"/>
                <w:sz w:val="28"/>
                <w:szCs w:val="28"/>
              </w:rPr>
              <w:t>　　五、融资难、融资贵。港澳企业中，大多属于中小企业，缺乏有效的抵押物，就是比基准利率上浮50%也难以取得银行贷款，严重影响企业的资金周转和扩大再生产。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以下我就政府部门如何支持港澳企业摆脱困境，向前发展和升级提出建议：
</w:t>
            </w:r>
            <w:r>
              <w:rPr>
                <w:rFonts w:ascii="华文仿宋" w:eastAsia="华文仿宋" w:hAnsi="华文仿宋"/>
                <w:sz w:val="28"/>
                <w:szCs w:val="28"/>
              </w:rPr>
              <w:br/>
            </w:r>
            <w:r>
              <w:rPr>
                <w:rFonts w:ascii="华文仿宋" w:eastAsia="华文仿宋" w:hAnsi="华文仿宋"/>
                <w:sz w:val="28"/>
                <w:szCs w:val="28"/>
              </w:rPr>
              <w:t>　　1. 区别于一般外资企业，将港澳企业视同内资企业对待。香港已经回归祖国21年、澳门也回归了19年，应逐步将其融入祖国大家庭，政治上的“一国两制”在一定时间内无法改变，但可以先从经济入手，把港澳企业从外商企业中剥离出来，享受内资企业一样的国民待遇。建议深圳市政府向中央政府提出议案，视港澳企业为内资企业看待，取消港澳企业作为外资企业受到的限制。
</w:t>
            </w:r>
            <w:r>
              <w:rPr>
                <w:rFonts w:ascii="华文仿宋" w:eastAsia="华文仿宋" w:hAnsi="华文仿宋"/>
                <w:sz w:val="28"/>
                <w:szCs w:val="28"/>
              </w:rPr>
              <w:br/>
            </w:r>
            <w:r>
              <w:rPr>
                <w:rFonts w:ascii="华文仿宋" w:eastAsia="华文仿宋" w:hAnsi="华文仿宋"/>
                <w:sz w:val="28"/>
                <w:szCs w:val="28"/>
              </w:rPr>
              <w:t>　　2. 建立工业用地储备，综合评比GDP、税收、就业、发展前景等因素决定重点扶持对象，除了享受政府给予的其它支持以外还给予工业用地支持。工业用地储备可以考虑改造零星和散小工业园以及“三旧”改造而来，在“三旧”改造中适当提高“工改工”和“农改工”的比例。
</w:t>
            </w:r>
            <w:r>
              <w:rPr>
                <w:rFonts w:ascii="华文仿宋" w:eastAsia="华文仿宋" w:hAnsi="华文仿宋"/>
                <w:sz w:val="28"/>
                <w:szCs w:val="28"/>
              </w:rPr>
              <w:br/>
            </w:r>
            <w:r>
              <w:rPr>
                <w:rFonts w:ascii="华文仿宋" w:eastAsia="华文仿宋" w:hAnsi="华文仿宋"/>
                <w:sz w:val="28"/>
                <w:szCs w:val="28"/>
              </w:rPr>
              <w:t>　　3. 以响应习近平总书记在民因企业座谈会的讲话精神为契机，尽快细化市政府《关于以更大力度支持民营经济发展的若干措施》（下称《措施》，比如以下问题急需细化，才有可操作性，才能让民营企业尽快受益：
</w:t>
            </w:r>
            <w:r>
              <w:rPr>
                <w:rFonts w:ascii="华文仿宋" w:eastAsia="华文仿宋" w:hAnsi="华文仿宋"/>
                <w:sz w:val="28"/>
                <w:szCs w:val="28"/>
              </w:rPr>
              <w:br/>
            </w:r>
            <w:r>
              <w:rPr>
                <w:rFonts w:ascii="华文仿宋" w:eastAsia="华文仿宋" w:hAnsi="华文仿宋"/>
                <w:sz w:val="28"/>
                <w:szCs w:val="28"/>
              </w:rPr>
              <w:t>　　3.1 以政府文件形式明确规定港澳制造企业同样可以享受《措施》规定的待遇。3.2 如何培育创新型高成长企业。
</w:t>
            </w:r>
            <w:r>
              <w:rPr>
                <w:rFonts w:ascii="华文仿宋" w:eastAsia="华文仿宋" w:hAnsi="华文仿宋"/>
                <w:sz w:val="28"/>
                <w:szCs w:val="28"/>
              </w:rPr>
              <w:br/>
            </w:r>
            <w:r>
              <w:rPr>
                <w:rFonts w:ascii="华文仿宋" w:eastAsia="华文仿宋" w:hAnsi="华文仿宋"/>
                <w:sz w:val="28"/>
                <w:szCs w:val="28"/>
              </w:rPr>
              <w:t>　　3.3 100家民营领军骨干企业的标准是什么，被认定后政府有什么支持措施。
</w:t>
            </w:r>
            <w:r>
              <w:rPr>
                <w:rFonts w:ascii="华文仿宋" w:eastAsia="华文仿宋" w:hAnsi="华文仿宋"/>
                <w:sz w:val="28"/>
                <w:szCs w:val="28"/>
              </w:rPr>
              <w:br/>
            </w:r>
            <w:r>
              <w:rPr>
                <w:rFonts w:ascii="华文仿宋" w:eastAsia="华文仿宋" w:hAnsi="华文仿宋"/>
                <w:sz w:val="28"/>
                <w:szCs w:val="28"/>
              </w:rPr>
              <w:t>　　3.4 1000亿民营企业发展基金的支持标准是什么，如何可以获得基金的支持。
</w:t>
            </w:r>
            <w:r>
              <w:rPr>
                <w:rFonts w:ascii="华文仿宋" w:eastAsia="华文仿宋" w:hAnsi="华文仿宋"/>
                <w:sz w:val="28"/>
                <w:szCs w:val="28"/>
              </w:rPr>
              <w:br/>
            </w:r>
            <w:r>
              <w:rPr>
                <w:rFonts w:ascii="华文仿宋" w:eastAsia="华文仿宋" w:hAnsi="华文仿宋"/>
                <w:sz w:val="28"/>
                <w:szCs w:val="28"/>
              </w:rPr>
              <w:t>　　3.5 “百强企业稳增长计划”和“优质企业扎根行动计划”的具体内容有哪些，企业如何才能获得计划的支持。
</w:t>
            </w:r>
            <w:r>
              <w:rPr>
                <w:rFonts w:ascii="华文仿宋" w:eastAsia="华文仿宋" w:hAnsi="华文仿宋"/>
                <w:sz w:val="28"/>
                <w:szCs w:val="28"/>
              </w:rPr>
              <w:br/>
            </w:r>
            <w:r>
              <w:rPr>
                <w:rFonts w:ascii="华文仿宋" w:eastAsia="华文仿宋" w:hAnsi="华文仿宋"/>
                <w:sz w:val="28"/>
                <w:szCs w:val="28"/>
              </w:rPr>
              <w:t>　　4. 在加快建设深汕特别合作区的基础上总结经验，争取省和中央政府支持，采取类似模式在深圳市周边相对落后地区建设更多的特别合作区，为包括广大港澳企业在内的民营企业拓展生存和发展空间，从根本上解决深圳市用地紧张的矛盾，减缓企业外迁步伐。
</w:t>
            </w:r>
            <w:r>
              <w:rPr>
                <w:rFonts w:ascii="华文仿宋" w:eastAsia="华文仿宋" w:hAnsi="华文仿宋"/>
                <w:sz w:val="28"/>
                <w:szCs w:val="28"/>
              </w:rPr>
              <w:br/>
            </w:r>
            <w:r>
              <w:rPr>
                <w:rFonts w:ascii="华文仿宋" w:eastAsia="华文仿宋" w:hAnsi="华文仿宋"/>
                <w:sz w:val="28"/>
                <w:szCs w:val="28"/>
              </w:rPr>
              <w:t>　　5. 继续加大力度吸引与留住人才特别是基础人才，从降低生活成本、解决子女入学、提供创业支持等多方面综合发力，比如加大住房补贴与子女入学补贴，对有发展前景的创业项目提供创业起步资金支持，使人才在深圳生活有保障、事业有出路，这样才能引得进、留得住人才。
</w:t>
            </w:r>
            <w:r>
              <w:rPr>
                <w:rFonts w:ascii="华文仿宋" w:eastAsia="华文仿宋" w:hAnsi="华文仿宋"/>
                <w:sz w:val="28"/>
                <w:szCs w:val="28"/>
              </w:rPr>
              <w:br/>
            </w:r>
            <w:r>
              <w:rPr>
                <w:rFonts w:ascii="华文仿宋" w:eastAsia="华文仿宋" w:hAnsi="华文仿宋"/>
                <w:sz w:val="28"/>
                <w:szCs w:val="28"/>
              </w:rPr>
              <w:t>　　6. 港澳制造企业大多以出口和代工为主，外向型经济明显，随着国际贸易保护主义、单边主义抬头，贸易纠纷日渐增多，建议市政府由外事、外经部门牵头组建对外贸易纠纷协调机构，重点为民营企业、港澳企业遇到的贸易纠纷提供法律、税收、专业知识以及公共关系援助。
</w:t>
            </w:r>
            <w:r>
              <w:rPr>
                <w:rFonts w:ascii="华文仿宋" w:eastAsia="华文仿宋" w:hAnsi="华文仿宋"/>
                <w:sz w:val="28"/>
                <w:szCs w:val="28"/>
              </w:rPr>
              <w:br/>
            </w:r>
            <w:r>
              <w:rPr>
                <w:rFonts w:ascii="华文仿宋" w:eastAsia="华文仿宋" w:hAnsi="华文仿宋"/>
                <w:sz w:val="28"/>
                <w:szCs w:val="28"/>
              </w:rPr>
              <w:t>　　7. 以建设粤港澳大湾区为抓手，建立深、粤、港澳合作机制，深化深港、深澳合作，以充当新形势下改革开放排头兵的身份，争取中央政府出台针对粤港澳大湾区建设的经济扶持政策，营造新的政策优势。
</w:t>
            </w:r>
            <w:r>
              <w:rPr>
                <w:rFonts w:ascii="华文仿宋" w:eastAsia="华文仿宋" w:hAnsi="华文仿宋"/>
                <w:sz w:val="28"/>
                <w:szCs w:val="28"/>
              </w:rPr>
              <w:br/>
            </w:r>
            <w:r>
              <w:rPr>
                <w:rFonts w:ascii="华文仿宋" w:eastAsia="华文仿宋" w:hAnsi="华文仿宋"/>
                <w:sz w:val="28"/>
                <w:szCs w:val="28"/>
              </w:rPr>
              <w:t>　　8. 建立政府日常施政的负面清单，完善对各级政府部门考核机制，除专案以外实行政府多部门联合检查制度，减少对企业的干预，提高政府办事效率，进一步优化投资软环境。
</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建立工业用地储备</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尽快细化市政府《关于以更大力度支持民营经济发展的若干措施》</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争取省和中央政府支持，采取类似模式在深圳市周边相对落后地区建设更多的特别合作区</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继续加大力度吸引与留住人才特别是基础人才</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由外事、外经部门牵头组建对外贸易纠纷协调机构，重点为民营企业、港澳企业遇到的贸易纠纷提供法律、税收、专业知识以及公共关系援助</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6.</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区别于一般外资企业，将港澳企业视同内资企业对待。</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7.</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以建设粤港澳大湾区为抓手，建立深、粤、港澳合作机制。</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8.</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建立政府日常施政的负面清单，完善对各级政府部门考核机制。</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江展威(男),香港光阳集团董事、深圳长江家具有限公司副董事长；香港深圳社团总会副会长、深圳市总商会副会长,13828819056,28116666-830,龙华新区建设东路长江工业园,518109,</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市委组织部(魏芸),13631509588,88133528,市委大院前楼506,518006</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市规划和自然资源局(门贝利),15820436366,83949236,深圳市红荔路8009号规划大厦501室,518040</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市商务局(杨燕丝),15018508216,88107021,福田区福华一路大中华国际交易广场12楼,518000</w:t>
            </w:r>
            <w:bookmarkStart w:id="0" w:name="_GoBack"/>
            <w:bookmarkEnd w:id="0"/>
          </w:p>
        </w:tc>
      </w:tr>
      <w:tr>
        <w:tc>
          <w:tcPr>
            <w:tcW w:w="568" w:type="dxa"/>
          </w:tcPr>
          <w:p w:rsidR="00DC73DE" w:rsidRDefault="00E31B38">
            <w:r>
              <w:rPr>
                <w:rFonts w:ascii="仿宋_GB2312" w:eastAsia="仿宋_GB2312" w:cs="仿宋_GB2312" w:hint="eastAsia"/>
                <w:sz w:val="28"/>
                <w:szCs w:val="28"/>
              </w:rPr>
              <w:t>5.</w:t>
            </w:r>
          </w:p>
        </w:tc>
        <w:tc>
          <w:tcPr>
            <w:tcW w:w="7818" w:type="dxa"/>
          </w:tcPr>
          <w:p w:rsidR="00DC73DE" w:rsidRDefault="00DA0068" w:rsidP="00DA0068">
            <w:r>
              <w:rPr>
                <w:rFonts w:ascii="仿宋_GB2312" w:eastAsia="仿宋_GB2312" w:cs="仿宋_GB2312" w:hint="eastAsia"/>
                <w:sz w:val="28"/>
                <w:szCs w:val="28"/>
              </w:rPr>
              <w:t>市委编办(刘方),13480771011,88127637,福田区福中路市民中心C区C3035,518000</w:t>
            </w:r>
            <w:bookmarkStart w:id="0" w:name="_GoBack"/>
            <w:bookmarkEnd w:id="0"/>
          </w:p>
        </w:tc>
      </w:tr>
      <w:tr>
        <w:tc>
          <w:tcPr>
            <w:tcW w:w="568" w:type="dxa"/>
          </w:tcPr>
          <w:p w:rsidR="00DC73DE" w:rsidRDefault="00E31B38">
            <w:r>
              <w:rPr>
                <w:rFonts w:ascii="仿宋_GB2312" w:eastAsia="仿宋_GB2312" w:cs="仿宋_GB2312" w:hint="eastAsia"/>
                <w:sz w:val="28"/>
                <w:szCs w:val="28"/>
              </w:rPr>
              <w:t>6.</w:t>
            </w:r>
          </w:p>
        </w:tc>
        <w:tc>
          <w:tcPr>
            <w:tcW w:w="7818" w:type="dxa"/>
          </w:tcPr>
          <w:p w:rsidR="00DC73DE" w:rsidRDefault="00DA0068" w:rsidP="00DA0068">
            <w:r>
              <w:rPr>
                <w:rFonts w:ascii="仿宋_GB2312" w:eastAsia="仿宋_GB2312" w:cs="仿宋_GB2312" w:hint="eastAsia"/>
                <w:sz w:val="28"/>
                <w:szCs w:val="28"/>
              </w:rPr>
              <w:t>市委大湾区办(未填写),</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