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20190841</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关于营造一流科技创新环境的提案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林江怀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市工业和信息化局,市科技创新委员会,市人力资源和社会保障局,市地方金融监督管理局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1）警惕实业企业空心化，政府加强政策引导扶持。当前，中国企业存在“实业空心化”的趋势，越来越多的生产制造类企业在高额利益的诱导下将资本转向楼市、股市、借贷业等虚拟投机行业。“空心化”现象致使实体企业的投入和产出大为减少，对实业的发展根基带来沉重的打击，实体经济对地方财政收入的贡献不断压缩。近几年不少城市的土地财政依赖比重超50%甚至更多，侧面印证了“实业空心化”现象。</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深圳第二产业对GDP贡献超40%，高科技产业增加值占GDP超30%，土地财政依赖占比20%左右，产业结构总体来讲相对合理，但受高房价、高用人成本等城市综合成本上升的因素影响，深圳的产业外溢、投机过热等现象已有苗头。</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2）与市场全面接轨，提高科技成果转化率。科技企业投入大、回报周期长，科技成果时效性强，一旦科技成果不能及时投入市场获得收益，将对企业的可持续发展造成不可估量的影响，很多科技企业由于缺乏有效的市场引导、缺乏科技成果转化的资金投入、成果转化的渠道少等因素，往往与市场脱钩，导致科技成果转化率低、转化慢，造成创新资源的极大浪费。另一方面，缺乏有效的技术市场中介及高素质的技术经纪人队伍也是科技成果转化率低的重要原因，很多科技企业只能通过推广洽谈会、交易会等单一形式推广科研项目，收效甚微。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3）进一步开放人才引进政策，加大企业人才补贴力度。深圳缺乏高质量的本土高校，人才引进成为满足人才需求缺口的关键，但随着近些年深圳城市综合成本上升，全国各大城市也争相放开户籍制度，深圳在人才争夺战中面临不小的挑战。另一方面，人才作为科技创新的核心要素，且科技创新型人才成本高，用人成本成为很多科技创新企业不可承受之重。</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4）推动资本与科技深度融合，激发创新活力。创新企业需要长久的投入支持，资金需求高，能否获得及时、足够的资金支持事关生死存亡。但由于投资风险大、技术迭代快、成果转化不确定等原因，创新企业往往面临资金短缺、融资难问题，深圳作为金融发展相对成熟的城市，在创新与资本市场的对接方面还有很大发展潜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建议警惕实业企业空心化，政府加强政策引导扶持。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市政府加强对实业发展的政策引导，努力营造鼓励脚踏实地、实业致富的创新创业氛围，帮助企业家积极调整心态，改变观念。另一方面，加大力度扶持实业尤其是科技创新企业的发展，在企业减税减负、融资、资金等方面提供支持。同时，利用调控手段稳定房价、全面整顿P2P、虚拟货币等金融市场乱象。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建议与市场全面接轨，提高科技成果转化率。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市政府建立健全创新成果转化机制，推进科技成果转化与市场全面接轨。政府可适当放宽对高新技术企业的认定门槛，提高对已认定高新技术企业的奖励金额；对投入市场的创新成果，政府可在资金扶持、贷款融资、资源对接等方面为企业提供便利和支持。另一方面，建议市政府发挥牵头作用，支持有条件的科技企业、高校、科研机构等深入合作，成立产学研用一体化的科研机构、产业技术创新联盟等，帮助科技企业降低科研投入，提高科研产出。同时，牵头组织开展建设高素质的技术经纪人团队、技术市场中介，利用好手头的社会资源，帮助科技成果转化企业对接市场资源，进一步拓宽科技成果转化的渠道。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建议进一步开放人才引进政策，加大企业人才补贴力度。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市政府加快推进高校建设进度的同时，在现有政策的基础上进一步开放人才引进政策，通过政策吸引港澳湾区、国内外高精尖人才，并解决服务好人才的住房、医疗、教育等民生问题，为大众创建既宜业又宜居的环境。同时，制定企业人才补贴方案，对科技创新型企业进行人才补贴，这样既能减轻企业的用人成本压力，又能调动企业创新的积极性。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建议动资本与科技深度融合，激发创新活力。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市政府发挥主导作用，深化多层次资本市场改革，积极引导推进创新与资本深度对接。一是制定完善鼓励企业创新的信贷政策和投融资政策，建立健全创新企业风险投资机制，积极发挥政策调节作用，引导各类金融机构支持企业创新；二是鼓励发挥资本市场并购重组渠道作用，支持创新企业通过并购重组做优做强，支持创新企业在科创板、新三板等上市，拓宽企业投融资渠道。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4F7B1468"/>
    <w:rsid w:val="514C5B9B"/>
    <w:rsid w:val="54992EC7"/>
    <w:rsid w:val="58FB2054"/>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2020-11-10T07:51:25Z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