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4.0.0 -->
  <w:body>
    <w:p>
      <w:pPr>
        <w:widowControl/>
        <w:spacing w:line="360" w:lineRule="auto"/>
        <w:rPr>
          <w:rFonts w:ascii="黑体" w:eastAsia="黑体" w:hAnsi="黑体" w:cs="黑体" w:hint="eastAsia"/>
          <w:kern w:val="2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kern w:val="2"/>
          <w:sz w:val="32"/>
          <w:szCs w:val="32"/>
          <w:lang w:eastAsia="zh-CN"/>
        </w:rPr>
        <w:t>附件</w:t>
      </w:r>
      <w:r>
        <w:rPr>
          <w:rFonts w:ascii="黑体" w:eastAsia="黑体" w:hAnsi="黑体" w:cs="黑体" w:hint="eastAsia"/>
          <w:kern w:val="2"/>
          <w:sz w:val="32"/>
          <w:szCs w:val="32"/>
          <w:lang w:val="en-US" w:eastAsia="zh-CN"/>
        </w:rPr>
        <w:t>2</w:t>
      </w:r>
      <w:bookmarkStart w:id="0" w:name="_GoBack"/>
      <w:bookmarkEnd w:id="0"/>
    </w:p>
    <w:p>
      <w:pPr>
        <w:pStyle w:val="Heading2"/>
        <w:spacing w:before="0" w:after="0"/>
        <w:jc w:val="center"/>
        <w:rPr>
          <w:rFonts w:ascii="方正小标宋简体" w:eastAsia="方正小标宋简体" w:hint="eastAsia"/>
          <w:b w:val="0"/>
          <w:bCs w:val="0"/>
          <w:sz w:val="28"/>
          <w:szCs w:val="28"/>
        </w:rPr>
      </w:pPr>
      <w:r>
        <w:rPr>
          <w:rFonts w:ascii="方正小标宋简体" w:eastAsia="方正小标宋简体" w:hint="eastAsia"/>
          <w:b w:val="0"/>
          <w:bCs w:val="0"/>
          <w:sz w:val="28"/>
          <w:szCs w:val="28"/>
        </w:rPr>
        <w:t>深圳市工信领域重点用能单位能源审计评分细则</w:t>
      </w:r>
    </w:p>
    <w:tbl>
      <w:tblPr>
        <w:tblStyle w:val="TableGrid"/>
        <w:tblW w:w="1388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983"/>
        <w:gridCol w:w="5811"/>
        <w:gridCol w:w="850"/>
        <w:gridCol w:w="3719"/>
      </w:tblGrid>
      <w:tr>
        <w:tblPrEx>
          <w:tblW w:w="13888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tblHeader/>
          <w:jc w:val="center"/>
        </w:trPr>
        <w:tc>
          <w:tcPr>
            <w:tcW w:w="1525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1983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811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  <w:b/>
                <w:bCs/>
              </w:rPr>
              <w:t>内容要求</w:t>
            </w: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  <w:b/>
                <w:bCs/>
              </w:rPr>
              <w:t>分值</w:t>
            </w:r>
          </w:p>
        </w:tc>
        <w:tc>
          <w:tcPr>
            <w:tcW w:w="3719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  <w:b/>
                <w:bCs/>
              </w:rPr>
              <w:t>评分参考标准</w:t>
            </w:r>
          </w:p>
        </w:tc>
      </w:tr>
      <w:tr>
        <w:tblPrEx>
          <w:tblW w:w="1388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525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审计事项说明</w:t>
            </w:r>
          </w:p>
          <w:p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（2分）</w:t>
            </w:r>
          </w:p>
        </w:tc>
        <w:tc>
          <w:tcPr>
            <w:tcW w:w="1983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审计说明</w:t>
            </w:r>
          </w:p>
        </w:tc>
        <w:tc>
          <w:tcPr>
            <w:tcW w:w="5811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阐述审计目的、依据、审计期、范围等。</w:t>
            </w: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719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完整详细可得满分，内容不全、不清楚酌情扣分。</w:t>
            </w:r>
          </w:p>
        </w:tc>
      </w:tr>
      <w:tr>
        <w:tblPrEx>
          <w:tblW w:w="1388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525" w:type="dxa"/>
            <w:vMerge w:val="restart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企业概况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（</w:t>
            </w:r>
            <w: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1983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企业简介</w:t>
            </w:r>
          </w:p>
        </w:tc>
        <w:tc>
          <w:tcPr>
            <w:tcW w:w="5811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企业性质、所属行业、主要产品、生产规模、生产经营业绩等。</w:t>
            </w: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719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完整详细可得满分，内容不全、不清楚酌情扣分。</w:t>
            </w:r>
          </w:p>
        </w:tc>
      </w:tr>
      <w:tr>
        <w:tblPrEx>
          <w:tblW w:w="1388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525" w:type="dxa"/>
            <w:vMerge/>
            <w:vAlign w:val="center"/>
          </w:tcPr>
          <w:p>
            <w:pPr>
              <w:spacing w:line="276" w:lineRule="auto"/>
              <w:jc w:val="center"/>
            </w:pPr>
          </w:p>
        </w:tc>
        <w:tc>
          <w:tcPr>
            <w:tcW w:w="1983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主要生产工艺概况</w:t>
            </w:r>
          </w:p>
        </w:tc>
        <w:tc>
          <w:tcPr>
            <w:tcW w:w="5811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主要工艺流程和简述。</w:t>
            </w: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719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有主要工艺流程和工序简述的可得满分，内容不全、不清楚酌情扣分。</w:t>
            </w:r>
          </w:p>
        </w:tc>
      </w:tr>
      <w:tr>
        <w:tblPrEx>
          <w:tblW w:w="1388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525" w:type="dxa"/>
            <w:vMerge/>
            <w:vAlign w:val="center"/>
          </w:tcPr>
          <w:p>
            <w:pPr>
              <w:spacing w:line="276" w:lineRule="auto"/>
              <w:jc w:val="center"/>
            </w:pPr>
          </w:p>
        </w:tc>
        <w:tc>
          <w:tcPr>
            <w:tcW w:w="1983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用能系统概况和能源流程</w:t>
            </w:r>
          </w:p>
        </w:tc>
        <w:tc>
          <w:tcPr>
            <w:tcW w:w="5811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用能单位供能系统、能源转换系统及能源利用流程。</w:t>
            </w: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3719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介绍完整详细可得满分，每缺一项扣1分。</w:t>
            </w:r>
          </w:p>
        </w:tc>
      </w:tr>
      <w:tr>
        <w:tblPrEx>
          <w:tblW w:w="1388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525" w:type="dxa"/>
            <w:vMerge/>
            <w:vAlign w:val="center"/>
          </w:tcPr>
          <w:p>
            <w:pPr>
              <w:spacing w:line="276" w:lineRule="auto"/>
              <w:jc w:val="center"/>
            </w:pPr>
          </w:p>
        </w:tc>
        <w:tc>
          <w:tcPr>
            <w:tcW w:w="1983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企业能源管理概况</w:t>
            </w:r>
          </w:p>
        </w:tc>
        <w:tc>
          <w:tcPr>
            <w:tcW w:w="5811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阐述企业能源管理情况及相关制度实施情况，如：能源管理机构运行情况、能源管理岗位设立和备案、能源计量管理、能源统计管理、能源定额管理、节能考核和奖惩相关制度等。</w:t>
            </w: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3719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介绍完整详细可得满分，每缺一项扣</w:t>
            </w:r>
            <w:r>
              <w:t>0.5</w:t>
            </w:r>
            <w:r>
              <w:rPr>
                <w:rFonts w:hint="eastAsia"/>
              </w:rPr>
              <w:t>分。</w:t>
            </w:r>
          </w:p>
        </w:tc>
      </w:tr>
      <w:tr>
        <w:tblPrEx>
          <w:tblW w:w="1388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525" w:type="dxa"/>
            <w:vMerge w:val="restart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企业能源计量与统计状况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（8分）</w:t>
            </w:r>
          </w:p>
        </w:tc>
        <w:tc>
          <w:tcPr>
            <w:tcW w:w="1983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能源计量情况</w:t>
            </w:r>
          </w:p>
        </w:tc>
        <w:tc>
          <w:tcPr>
            <w:tcW w:w="5811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（1）依据《用能单位能源计量器具配备和管理通则》（G</w:t>
            </w:r>
            <w:r>
              <w:t>B17167-2006</w:t>
            </w:r>
            <w:r>
              <w:rPr>
                <w:rFonts w:hint="eastAsia"/>
              </w:rPr>
              <w:t>）要求，统计能源计量器具配备情况，并提供校准证书；</w:t>
            </w:r>
          </w:p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（2）提供完整的能源计量器具计量网络图。</w:t>
            </w: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3719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介绍完整详细可得满分，每缺一项扣</w:t>
            </w:r>
            <w:r>
              <w:t>2</w:t>
            </w:r>
            <w:r>
              <w:rPr>
                <w:rFonts w:hint="eastAsia"/>
              </w:rPr>
              <w:t>分。</w:t>
            </w:r>
          </w:p>
        </w:tc>
      </w:tr>
      <w:tr>
        <w:tblPrEx>
          <w:tblW w:w="1388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/>
          <w:jc w:val="center"/>
        </w:trPr>
        <w:tc>
          <w:tcPr>
            <w:tcW w:w="1525" w:type="dxa"/>
            <w:vMerge/>
            <w:vAlign w:val="center"/>
          </w:tcPr>
          <w:p>
            <w:pPr>
              <w:spacing w:line="276" w:lineRule="auto"/>
              <w:jc w:val="center"/>
            </w:pPr>
          </w:p>
        </w:tc>
        <w:tc>
          <w:tcPr>
            <w:tcW w:w="1983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能源统计情况</w:t>
            </w:r>
          </w:p>
        </w:tc>
        <w:tc>
          <w:tcPr>
            <w:tcW w:w="5811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有定期对企业能源消耗进行统计，提供统计计划和统计报表。</w:t>
            </w: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719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介绍完整详细可得满分，每缺一项扣</w:t>
            </w:r>
            <w:r>
              <w:t>2</w:t>
            </w:r>
            <w:r>
              <w:rPr>
                <w:rFonts w:hint="eastAsia"/>
              </w:rPr>
              <w:t>分。</w:t>
            </w:r>
          </w:p>
        </w:tc>
      </w:tr>
      <w:tr>
        <w:tblPrEx>
          <w:tblW w:w="1388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/>
          <w:jc w:val="center"/>
        </w:trPr>
        <w:tc>
          <w:tcPr>
            <w:tcW w:w="1525" w:type="dxa"/>
            <w:vMerge w:val="restart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主要用能设备状况及运行效率检测分析（</w:t>
            </w:r>
            <w: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1983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能效测试和分析</w:t>
            </w:r>
          </w:p>
        </w:tc>
        <w:tc>
          <w:tcPr>
            <w:tcW w:w="5811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对企业的主要用能设备（生产设备或辅助设备）运行效率开展测试和能效分析。</w:t>
            </w: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719" w:type="dxa"/>
            <w:shd w:val="clear" w:color="auto" w:fill="auto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每对一类用能设备进行测试和能效分析可得</w:t>
            </w:r>
            <w:r>
              <w:t>3</w:t>
            </w:r>
            <w:r>
              <w:rPr>
                <w:rFonts w:hint="eastAsia"/>
              </w:rPr>
              <w:t>分。</w:t>
            </w:r>
          </w:p>
        </w:tc>
      </w:tr>
      <w:tr>
        <w:tblPrEx>
          <w:tblW w:w="1388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/>
          <w:jc w:val="center"/>
        </w:trPr>
        <w:tc>
          <w:tcPr>
            <w:tcW w:w="1525" w:type="dxa"/>
            <w:vMerge/>
            <w:vAlign w:val="center"/>
          </w:tcPr>
          <w:p>
            <w:pPr>
              <w:spacing w:line="276" w:lineRule="auto"/>
              <w:jc w:val="center"/>
            </w:pPr>
          </w:p>
        </w:tc>
        <w:tc>
          <w:tcPr>
            <w:tcW w:w="1983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淘汰落后产品、设备</w:t>
            </w:r>
          </w:p>
        </w:tc>
        <w:tc>
          <w:tcPr>
            <w:tcW w:w="5811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对企业的用能设备依据国家淘汰目录进行自查，若有则需制订淘汰计划。</w:t>
            </w: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719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无淘汰落后产品、设备的，得满分。存在淘汰产品、设备，而无淘汰计划的，本项不得分。</w:t>
            </w:r>
          </w:p>
        </w:tc>
      </w:tr>
      <w:tr>
        <w:tblPrEx>
          <w:tblW w:w="1388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525" w:type="dxa"/>
            <w:vMerge w:val="restart"/>
            <w:vAlign w:val="center"/>
          </w:tcPr>
          <w:p>
            <w:pPr>
              <w:spacing w:line="276" w:lineRule="auto"/>
              <w:jc w:val="center"/>
            </w:pPr>
            <w:bookmarkStart w:id="1" w:name="_Hlk73096528"/>
            <w:r>
              <w:rPr>
                <w:rFonts w:hint="eastAsia"/>
              </w:rPr>
              <w:t>企业能源消耗及生产指标计算</w:t>
            </w:r>
          </w:p>
          <w:p>
            <w:pPr>
              <w:spacing w:line="276" w:lineRule="auto"/>
              <w:jc w:val="center"/>
              <w:rPr>
                <w:color w:val="FF0000"/>
              </w:rPr>
            </w:pPr>
            <w:bookmarkEnd w:id="1"/>
            <w:r>
              <w:rPr>
                <w:rFonts w:hint="eastAsia"/>
              </w:rPr>
              <w:t>（</w:t>
            </w:r>
            <w:r>
              <w:t>28</w:t>
            </w:r>
            <w:r>
              <w:rPr>
                <w:rFonts w:hint="eastAsia"/>
              </w:rPr>
              <w:t>分）</w:t>
            </w:r>
          </w:p>
        </w:tc>
        <w:tc>
          <w:tcPr>
            <w:tcW w:w="1983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能源消耗计算和消费结构</w:t>
            </w:r>
          </w:p>
        </w:tc>
        <w:tc>
          <w:tcPr>
            <w:tcW w:w="5811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企业依据《综合能耗计算通则》（G</w:t>
            </w:r>
            <w:r>
              <w:t>BT2589-2020</w:t>
            </w:r>
            <w:r>
              <w:rPr>
                <w:rFonts w:hint="eastAsia"/>
              </w:rPr>
              <w:t>），对能源资源进行能耗折标计算，分析能源消费结构。</w:t>
            </w: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719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对审计期内的能耗进行统计计算。</w:t>
            </w:r>
          </w:p>
        </w:tc>
      </w:tr>
      <w:tr>
        <w:tblPrEx>
          <w:tblW w:w="1388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525" w:type="dxa"/>
            <w:vMerge/>
            <w:vAlign w:val="center"/>
          </w:tcPr>
          <w:p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1983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能源消费情况</w:t>
            </w:r>
          </w:p>
        </w:tc>
        <w:tc>
          <w:tcPr>
            <w:tcW w:w="5811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分析能源消耗变化情况。</w:t>
            </w: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719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对审计期内的能源消耗情况进行分析。</w:t>
            </w:r>
          </w:p>
        </w:tc>
      </w:tr>
      <w:tr>
        <w:tblPrEx>
          <w:tblW w:w="1388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525" w:type="dxa"/>
            <w:vMerge/>
            <w:vAlign w:val="center"/>
          </w:tcPr>
          <w:p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1983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能源消费流向</w:t>
            </w:r>
          </w:p>
        </w:tc>
        <w:tc>
          <w:tcPr>
            <w:tcW w:w="5811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绘制能源流向图、能量平衡表。</w:t>
            </w: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719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每项可得2分。</w:t>
            </w:r>
          </w:p>
        </w:tc>
      </w:tr>
      <w:tr>
        <w:tblPrEx>
          <w:tblW w:w="1388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/>
          <w:jc w:val="center"/>
        </w:trPr>
        <w:tc>
          <w:tcPr>
            <w:tcW w:w="1525" w:type="dxa"/>
            <w:vMerge/>
            <w:vAlign w:val="center"/>
          </w:tcPr>
          <w:p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1983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重点工艺、工序能耗指标</w:t>
            </w:r>
          </w:p>
        </w:tc>
        <w:tc>
          <w:tcPr>
            <w:tcW w:w="5811" w:type="dxa"/>
            <w:vMerge w:val="restart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对企业的重点工艺、工序能耗指标，产品能耗指标等指标计算分析，并对照该行业的国家限额标准或行业标准进行比较。</w:t>
            </w: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719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完整详细可得满分，内容不全、不清楚酌情扣分。</w:t>
            </w:r>
          </w:p>
        </w:tc>
      </w:tr>
      <w:tr>
        <w:tblPrEx>
          <w:tblW w:w="1388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/>
          <w:jc w:val="center"/>
        </w:trPr>
        <w:tc>
          <w:tcPr>
            <w:tcW w:w="1525" w:type="dxa"/>
            <w:vMerge/>
            <w:vAlign w:val="center"/>
          </w:tcPr>
          <w:p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1983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产品能耗指标</w:t>
            </w:r>
          </w:p>
        </w:tc>
        <w:tc>
          <w:tcPr>
            <w:tcW w:w="5811" w:type="dxa"/>
            <w:vMerge/>
            <w:vAlign w:val="center"/>
          </w:tcPr>
          <w:p>
            <w:pPr>
              <w:spacing w:line="276" w:lineRule="auto"/>
              <w:jc w:val="left"/>
            </w:pP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719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完整详细可得满分，内容不全、不清楚酌情扣分。</w:t>
            </w:r>
          </w:p>
        </w:tc>
      </w:tr>
      <w:tr>
        <w:tblPrEx>
          <w:tblW w:w="1388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/>
          <w:jc w:val="center"/>
        </w:trPr>
        <w:tc>
          <w:tcPr>
            <w:tcW w:w="1525" w:type="dxa"/>
            <w:vMerge/>
            <w:vAlign w:val="center"/>
          </w:tcPr>
          <w:p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1983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产值能耗指标计算分析</w:t>
            </w:r>
          </w:p>
        </w:tc>
        <w:tc>
          <w:tcPr>
            <w:tcW w:w="5811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对企业产值能耗指标计算分析。</w:t>
            </w: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719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完整详细可得满分，内容不全、不清楚酌情扣分。</w:t>
            </w:r>
          </w:p>
        </w:tc>
      </w:tr>
      <w:tr>
        <w:tblPrEx>
          <w:tblW w:w="1388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/>
          <w:jc w:val="center"/>
        </w:trPr>
        <w:tc>
          <w:tcPr>
            <w:tcW w:w="1525" w:type="dxa"/>
            <w:vMerge/>
            <w:vAlign w:val="center"/>
          </w:tcPr>
          <w:p>
            <w:pPr>
              <w:spacing w:line="276" w:lineRule="auto"/>
              <w:jc w:val="center"/>
            </w:pPr>
          </w:p>
        </w:tc>
        <w:tc>
          <w:tcPr>
            <w:tcW w:w="1983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能源成本指标计算分析</w:t>
            </w:r>
          </w:p>
        </w:tc>
        <w:tc>
          <w:tcPr>
            <w:tcW w:w="5811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对企业能源成本指标计算分析。</w:t>
            </w: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719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完整详细可得满分，内容不全、不清楚酌情扣分。</w:t>
            </w:r>
          </w:p>
        </w:tc>
      </w:tr>
      <w:tr>
        <w:tblPrEx>
          <w:tblW w:w="1388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/>
          <w:jc w:val="center"/>
        </w:trPr>
        <w:tc>
          <w:tcPr>
            <w:tcW w:w="1525" w:type="dxa"/>
            <w:vMerge w:val="restart"/>
            <w:vAlign w:val="center"/>
          </w:tcPr>
          <w:p>
            <w:pPr>
              <w:spacing w:line="276" w:lineRule="auto"/>
              <w:jc w:val="center"/>
            </w:pPr>
            <w:r>
              <w:t>节能效果与考核指标计算分析</w:t>
            </w:r>
            <w:r>
              <w:rPr>
                <w:rFonts w:hint="eastAsia"/>
              </w:rPr>
              <w:t>（</w:t>
            </w:r>
            <w:r>
              <w:t>8</w:t>
            </w:r>
            <w:r>
              <w:rPr>
                <w:rFonts w:hint="eastAsia"/>
              </w:rPr>
              <w:t>分）</w:t>
            </w:r>
          </w:p>
        </w:tc>
        <w:tc>
          <w:tcPr>
            <w:tcW w:w="1983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已开展的节能技改项目效果分析</w:t>
            </w:r>
          </w:p>
        </w:tc>
        <w:tc>
          <w:tcPr>
            <w:tcW w:w="5811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对已开展的节能管理、节能技改项目节能量进行分析。</w:t>
            </w: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3719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只列举项目方案和节能量计算的，得</w:t>
            </w:r>
            <w:r>
              <w:t>2</w:t>
            </w:r>
            <w:r>
              <w:rPr>
                <w:rFonts w:hint="eastAsia"/>
              </w:rPr>
              <w:t>分，有项目验收资料的，得</w:t>
            </w:r>
            <w:r>
              <w:t>2</w:t>
            </w:r>
            <w:r>
              <w:rPr>
                <w:rFonts w:hint="eastAsia"/>
              </w:rPr>
              <w:t>分。</w:t>
            </w:r>
          </w:p>
        </w:tc>
      </w:tr>
      <w:tr>
        <w:tblPrEx>
          <w:tblW w:w="1388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525" w:type="dxa"/>
            <w:vMerge/>
            <w:vAlign w:val="center"/>
          </w:tcPr>
          <w:p>
            <w:pPr>
              <w:spacing w:line="276" w:lineRule="auto"/>
              <w:jc w:val="center"/>
            </w:pPr>
          </w:p>
        </w:tc>
        <w:tc>
          <w:tcPr>
            <w:tcW w:w="1983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节能考核指标计算分析</w:t>
            </w:r>
          </w:p>
        </w:tc>
        <w:tc>
          <w:tcPr>
            <w:tcW w:w="5811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对“十三五”期间制定的“双控”目标完成情况进行分析。</w:t>
            </w: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719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完整详细可得满分，内容不全、不清楚酌情扣分；十三五期间未纳入重点用能单位考核的企业，本项可得满分。</w:t>
            </w:r>
          </w:p>
        </w:tc>
      </w:tr>
      <w:tr>
        <w:tblPrEx>
          <w:tblW w:w="1388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525" w:type="dxa"/>
            <w:vAlign w:val="center"/>
          </w:tcPr>
          <w:p>
            <w:pPr>
              <w:spacing w:line="276" w:lineRule="auto"/>
              <w:jc w:val="center"/>
            </w:pPr>
            <w:bookmarkStart w:id="2" w:name="_Hlk73096627"/>
            <w:r>
              <w:t>影响能源消耗变化的因素分析</w:t>
            </w:r>
            <w:bookmarkEnd w:id="2"/>
            <w:r>
              <w:rPr>
                <w:rFonts w:hint="eastAsia"/>
              </w:rPr>
              <w:t>（</w:t>
            </w:r>
            <w:r>
              <w:t>8</w:t>
            </w:r>
            <w:r>
              <w:rPr>
                <w:rFonts w:hint="eastAsia"/>
              </w:rPr>
              <w:t>分）</w:t>
            </w:r>
          </w:p>
        </w:tc>
        <w:tc>
          <w:tcPr>
            <w:tcW w:w="1983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阐述影响</w:t>
            </w:r>
            <w:r>
              <w:t>能源消耗变化的因素</w:t>
            </w:r>
          </w:p>
        </w:tc>
        <w:tc>
          <w:tcPr>
            <w:tcW w:w="5811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多维度分析影响能源消耗变化的因素。</w:t>
            </w: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3719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各维度分析条理清晰，每项得2分。</w:t>
            </w:r>
          </w:p>
        </w:tc>
      </w:tr>
      <w:tr>
        <w:tblPrEx>
          <w:tblW w:w="1388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525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节能措施及经济效益评价（</w:t>
            </w:r>
            <w:r>
              <w:t>16</w:t>
            </w:r>
            <w:r>
              <w:rPr>
                <w:rFonts w:hint="eastAsia"/>
              </w:rPr>
              <w:t>分）</w:t>
            </w:r>
          </w:p>
        </w:tc>
        <w:tc>
          <w:tcPr>
            <w:tcW w:w="1983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挖掘节能空间，提出节能改造项目</w:t>
            </w:r>
          </w:p>
        </w:tc>
        <w:tc>
          <w:tcPr>
            <w:tcW w:w="5811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（1）列明“十四五”计划开展的能源管理、节能技改等项目，并有具体落实日期和节能量计算过程；</w:t>
            </w:r>
          </w:p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（2）结合“碳中和”、“碳达峰”的要求，制订节能发展规划目标。</w:t>
            </w: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3719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节能改造工作需详细列明方案、投资金额、实施时间，每项可得2分，最高</w:t>
            </w:r>
            <w:r>
              <w:t>12</w:t>
            </w:r>
            <w:r>
              <w:rPr>
                <w:rFonts w:hint="eastAsia"/>
              </w:rPr>
              <w:t>分；“碳中和”、“碳达峰”分析，并制订发展规划目标的，可得4分。</w:t>
            </w:r>
          </w:p>
        </w:tc>
      </w:tr>
      <w:tr>
        <w:tblPrEx>
          <w:tblW w:w="1388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/>
          <w:jc w:val="center"/>
        </w:trPr>
        <w:tc>
          <w:tcPr>
            <w:tcW w:w="1525" w:type="dxa"/>
            <w:vAlign w:val="center"/>
          </w:tcPr>
          <w:p>
            <w:pPr>
              <w:spacing w:line="276" w:lineRule="auto"/>
              <w:jc w:val="center"/>
            </w:pPr>
            <w:bookmarkStart w:id="3" w:name="_Hlk73096688"/>
            <w:r>
              <w:t>企业能源审计结论与建议意见</w:t>
            </w:r>
            <w:bookmarkEnd w:id="3"/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分）</w:t>
            </w:r>
          </w:p>
        </w:tc>
        <w:tc>
          <w:tcPr>
            <w:tcW w:w="1983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阐述</w:t>
            </w:r>
            <w:r>
              <w:t>能源审计结论与建议意见</w:t>
            </w:r>
          </w:p>
        </w:tc>
        <w:tc>
          <w:tcPr>
            <w:tcW w:w="5811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总结企业当前能源利用状况、能耗指标，梳理管理、技术改造建议。</w:t>
            </w: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3719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完整详细可得满分，内容不全、不清楚酌情扣分。</w:t>
            </w:r>
          </w:p>
        </w:tc>
      </w:tr>
      <w:tr>
        <w:tblPrEx>
          <w:tblW w:w="1388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525" w:type="dxa"/>
            <w:vMerge w:val="restart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能源审计报告规范完整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（</w:t>
            </w:r>
            <w:r>
              <w:t>6</w:t>
            </w:r>
            <w:r>
              <w:rPr>
                <w:rFonts w:hint="eastAsia"/>
              </w:rPr>
              <w:t>分）</w:t>
            </w:r>
          </w:p>
        </w:tc>
        <w:tc>
          <w:tcPr>
            <w:tcW w:w="1983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报告审批程序完成</w:t>
            </w:r>
          </w:p>
        </w:tc>
        <w:tc>
          <w:tcPr>
            <w:tcW w:w="5811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封面中需有审计和被审计单位加盖公章。</w:t>
            </w: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719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检查报告内容，缺项扣分。</w:t>
            </w:r>
          </w:p>
        </w:tc>
      </w:tr>
      <w:tr>
        <w:tblPrEx>
          <w:tblW w:w="1388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525" w:type="dxa"/>
            <w:vMerge/>
            <w:vAlign w:val="center"/>
          </w:tcPr>
          <w:p>
            <w:pPr>
              <w:spacing w:line="276" w:lineRule="auto"/>
              <w:jc w:val="center"/>
            </w:pPr>
          </w:p>
        </w:tc>
        <w:tc>
          <w:tcPr>
            <w:tcW w:w="1983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报告格式合理</w:t>
            </w:r>
          </w:p>
        </w:tc>
        <w:tc>
          <w:tcPr>
            <w:tcW w:w="5811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能源审计报告装订成册，报告内容包括封面、目录、正文和附件。</w:t>
            </w: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719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检查报告内容，缺项扣分。</w:t>
            </w:r>
          </w:p>
        </w:tc>
      </w:tr>
      <w:tr>
        <w:tblPrEx>
          <w:tblW w:w="1388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1525" w:type="dxa"/>
            <w:vMerge/>
            <w:vAlign w:val="center"/>
          </w:tcPr>
          <w:p>
            <w:pPr>
              <w:spacing w:line="276" w:lineRule="auto"/>
              <w:jc w:val="center"/>
            </w:pPr>
          </w:p>
        </w:tc>
        <w:tc>
          <w:tcPr>
            <w:tcW w:w="1983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报告编写规范、内容完整</w:t>
            </w:r>
          </w:p>
        </w:tc>
        <w:tc>
          <w:tcPr>
            <w:tcW w:w="5811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能源审计报告符合《企业能源审计技术通则》(GB/T 17166-</w:t>
            </w:r>
            <w:r>
              <w:t>2019</w:t>
            </w:r>
            <w:r>
              <w:rPr>
                <w:rFonts w:hint="eastAsia"/>
              </w:rPr>
              <w:t>)要求。</w:t>
            </w: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3719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检查报告内容，不符合的酌情扣分。</w:t>
            </w:r>
          </w:p>
        </w:tc>
      </w:tr>
      <w:tr>
        <w:tblPrEx>
          <w:tblW w:w="1388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/>
          <w:jc w:val="center"/>
        </w:trPr>
        <w:tc>
          <w:tcPr>
            <w:tcW w:w="1525" w:type="dxa"/>
            <w:vMerge/>
            <w:vAlign w:val="center"/>
          </w:tcPr>
          <w:p>
            <w:pPr>
              <w:spacing w:line="276" w:lineRule="auto"/>
              <w:jc w:val="center"/>
            </w:pPr>
          </w:p>
        </w:tc>
        <w:tc>
          <w:tcPr>
            <w:tcW w:w="1983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报告数据真实可溯</w:t>
            </w:r>
          </w:p>
        </w:tc>
        <w:tc>
          <w:tcPr>
            <w:tcW w:w="5811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能源审计报告的数据应真实可靠，不得谎报。</w:t>
            </w: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3719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检查报告内容，数据不真实、证据不充分的酌情扣分。</w:t>
            </w:r>
          </w:p>
        </w:tc>
      </w:tr>
      <w:tr>
        <w:tblPrEx>
          <w:tblW w:w="1388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  <w:jc w:val="center"/>
        </w:trPr>
        <w:tc>
          <w:tcPr>
            <w:tcW w:w="9319" w:type="dxa"/>
            <w:gridSpan w:val="3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  <w:tc>
          <w:tcPr>
            <w:tcW w:w="3719" w:type="dxa"/>
            <w:vAlign w:val="center"/>
          </w:tcPr>
          <w:p>
            <w:pPr>
              <w:spacing w:line="276" w:lineRule="auto"/>
              <w:jc w:val="left"/>
            </w:pPr>
          </w:p>
        </w:tc>
      </w:tr>
    </w:tbl>
    <w:p/>
    <w:sectPr>
      <w:headerReference w:type="even" r:id="rId5"/>
      <w:headerReference w:type="default" r:id="rId6"/>
      <w:headerReference w:type="first" r:id="rId7"/>
      <w:pgSz w:w="16838" w:h="11906" w:orient="landscape"/>
      <w:pgMar w:top="1800" w:right="1440" w:bottom="1800" w:left="144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o:spid="_x0000_s2051" type="#_x0000_t136" style="width:280pt;height:44pt;margin-top:0;margin-left:0;mso-height-relative:page;mso-position-horizontal:center;mso-position-horizontal-relative:page;mso-position-vertical:center;mso-position-vertical-relative:page;mso-width-relative:page;position:absolute;z-index:251662336" coordsize="21600,21600" filled="t" fillcolor="#e3e4e6" stroked="t" strokecolor="#f4f5f6">
          <v:textpath style="font-family:'宋体';font-size:36pt;v-text-align:center" trim="f" fitpath="t" xscale="f" string="深圳市工业和信息化局 陈琼芬（非）&#10;2021-06-04 09:24:03"/>
        </v:shape>
      </w:pict>
    </w:r>
  </w:p>
  <w:p>
    <w:r>
      <w:pict>
        <v:shape id="_x0000_s2052" type="#_x0000_t136" style="width:280pt;height:44pt;margin-top:0;margin-left:0;mso-position-horizontal:center;mso-position-horizontal-relative:page;mso-position-vertical:center;mso-position-vertical-relative:page;position:absolute;rotation:-45;z-index:251660288" fillcolor="#e3e4e6" strokecolor="#f4f5f6">
          <v:textpath style="font-family:'宋体'" string="深圳市工业和信息化局 夏良庆（非）&#10;2021-06-07 10:32:45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3" type="#_x0000_t136" style="width:280pt;height:44pt;margin-top:0;margin-left:0;mso-position-horizontal:center;mso-position-horizontal-relative:page;mso-position-vertical:center;mso-position-vertical-relative:page;position:absolute;rotation:-45;z-index:251661312" fillcolor="#e3e4e6" strokecolor="#f4f5f6">
          <v:textpath style="font-family:'宋体'" string="深圳市工业和信息化局 夏良庆（非）&#10;2021-06-07 10:32:45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o:spid="_x0000_s2049" type="#_x0000_t136" style="width:280pt;height:44pt;margin-top:0;margin-left:0;mso-height-relative:page;mso-position-horizontal:center;mso-position-horizontal-relative:page;mso-position-vertical:center;mso-position-vertical-relative:page;mso-width-relative:page;position:absolute;z-index:251658240" coordsize="21600,21600" filled="t" fillcolor="#e3e4e6" stroked="t" strokecolor="#f4f5f6">
          <v:textpath style="font-family:'宋体';font-size:36pt;v-text-align:center" trim="f" fitpath="t" xscale="f" string="深圳市工业和信息化局 陈琼芬（非）&#10;2021-06-04 09:24:03"/>
        </v:shape>
      </w:pict>
    </w:r>
  </w:p>
  <w:p>
    <w:r>
      <w:pict>
        <v:shape id="_x0000_s2050" type="#_x0000_t136" style="width:280pt;height:44pt;margin-top:0;margin-left:0;mso-position-horizontal:center;mso-position-horizontal-relative:page;mso-position-vertical:center;mso-position-vertical-relative:page;position:absolute;rotation:-45;z-index:251659264" fillcolor="#e3e4e6" strokecolor="#f4f5f6">
          <v:textpath style="font-family:'宋体'" string="深圳市工业和信息化局 夏良庆（非）&#10;2021-06-07 10:32:45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2">
    <w:name w:val="heading 2"/>
    <w:basedOn w:val="Normal"/>
    <w:next w:val="Normal"/>
    <w:link w:val="2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a1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TableGrid">
    <w:name w:val="Table Grid"/>
    <w:basedOn w:val="TableNormal"/>
    <w:uiPriority w:val="59"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页眉 字符"/>
    <w:basedOn w:val="DefaultParagraphFont"/>
    <w:link w:val="Header"/>
    <w:uiPriority w:val="99"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Pr>
      <w:sz w:val="18"/>
      <w:szCs w:val="18"/>
    </w:rPr>
  </w:style>
  <w:style w:type="character" w:customStyle="1" w:styleId="a1">
    <w:name w:val="标题 字符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">
    <w:name w:val="标题 2 字符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zhulanzhi@szslczx.com</dc:creator>
  <cp:lastModifiedBy>陈琼芬（非）</cp:lastModifiedBy>
  <cp:revision>37</cp:revision>
  <cp:lastPrinted>2021-05-28T04:07:00Z</cp:lastPrinted>
  <dcterms:created xsi:type="dcterms:W3CDTF">2021-05-18T07:13:00Z</dcterms:created>
  <dcterms:modified xsi:type="dcterms:W3CDTF">2021-06-04T01:25:25Z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