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4.0.0 -->
  <w:body>
    <w:p>
      <w:pPr>
        <w:widowControl/>
        <w:spacing w:line="360" w:lineRule="auto"/>
        <w:rPr>
          <w:rFonts w:ascii="黑体" w:eastAsia="黑体" w:hAnsi="黑体" w:cs="黑体" w:hint="eastAsia"/>
          <w:kern w:val="2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kern w:val="2"/>
          <w:sz w:val="32"/>
          <w:szCs w:val="32"/>
          <w:lang w:eastAsia="zh-CN"/>
        </w:rPr>
        <w:t>附件</w:t>
      </w:r>
      <w:r>
        <w:rPr>
          <w:rFonts w:ascii="黑体" w:eastAsia="黑体" w:hAnsi="黑体" w:cs="黑体" w:hint="eastAsia"/>
          <w:kern w:val="2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pStyle w:val="Heading2"/>
        <w:spacing w:before="0" w:after="0"/>
        <w:jc w:val="center"/>
        <w:rPr>
          <w:rFonts w:ascii="方正小标宋简体" w:eastAsia="方正小标宋简体" w:hint="eastAsia"/>
          <w:b w:val="0"/>
          <w:bCs w:val="0"/>
          <w:sz w:val="28"/>
          <w:szCs w:val="28"/>
        </w:rPr>
      </w:pPr>
      <w:r>
        <w:rPr>
          <w:rFonts w:ascii="方正小标宋简体" w:eastAsia="方正小标宋简体" w:hint="eastAsia"/>
          <w:b w:val="0"/>
          <w:bCs w:val="0"/>
          <w:sz w:val="28"/>
          <w:szCs w:val="28"/>
        </w:rPr>
        <w:t>深圳市工信领域重点用能单位“十四五”节能规划评分细则</w:t>
      </w:r>
    </w:p>
    <w:tbl>
      <w:tblPr>
        <w:tblStyle w:val="TableNormal"/>
        <w:tblW w:w="1354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1843"/>
        <w:gridCol w:w="5117"/>
        <w:gridCol w:w="978"/>
        <w:gridCol w:w="14"/>
        <w:gridCol w:w="3814"/>
      </w:tblGrid>
      <w:tr>
        <w:tblPrEx>
          <w:tblW w:w="1354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tblHeader/>
          <w:jc w:val="center"/>
        </w:trPr>
        <w:tc>
          <w:tcPr>
            <w:tcW w:w="17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内容要求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评分参考标准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总论</w:t>
            </w:r>
          </w:p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1" w:name="_Hlk73109823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企业基本情况</w:t>
            </w:r>
            <w:bookmarkEnd w:id="1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企业概况：介绍企业性质、所属行业、主要产品、生产规模、生产经营业绩等。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介绍清晰、完整得满分，介绍不清楚、不规范的酌情扣分。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主要工艺及用能情况：阐述生产工艺流程描述、主要工艺装备。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每项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分，满分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分。介绍不清楚、不规范、内容缺失的酌情扣分。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节能工作基本情况和取得成绩：阐述企业“十三五”期间，在管理、技术和结构节能方面的落实情况。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每分项各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分，最高得分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分。介绍不清楚、不规范、内容缺失的酌情扣分。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2" w:name="_Hlk73109831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企业发展规划有关节能的要求</w:t>
            </w:r>
            <w:bookmarkEnd w:id="2"/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规划的范围：本规划覆盖的对象、目的、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、时间段等。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介绍清晰、完整得满分，介绍不清楚、不规范的酌情扣分。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企业发展规划的总体目标：预测企业未来五年发展的规模变化趋势，确定“十四五”考核双控目标。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有清晰的规模变化的，得1分；有“十四五”考核双控目标的，得1分。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发展规划所确定的基础条件：包括所确定的生产规模、产品结构、工艺流程、技术装备、物料平衡基础条件。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每项得0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分，最高得2分。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装备改造方案及新技术应用情况：“十四五”期间开展的管理、技术和结构节能计划。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有具体的节能计划的，且与节能潜力分析一致的，得2分.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3" w:name="_Hlk73109839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企业“十三五”能源消耗情况</w:t>
            </w:r>
            <w:bookmarkEnd w:id="3"/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能源消费情况综述：用能单位用能概况，包括能源消耗情况、能源结构、能源流向、能源平衡情况等。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每项得0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分，最高得2分。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/>
          <w:jc w:val="center"/>
        </w:trPr>
        <w:tc>
          <w:tcPr>
            <w:tcW w:w="1778" w:type="dxa"/>
            <w:vMerge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能耗指标分析情况：能源消费指标包括单位产值能耗指标、工业增加值能耗指标、单位产品综合能耗指标、设备工序能耗指标等。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分析合理，与实际相符的，得2分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4" w:name="_Hlk73109872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发展环境</w:t>
            </w:r>
          </w:p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End w:id="4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外部环境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企业面临的国内外外部发展机遇和挑战。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未能体现企业实际情况的，酌情扣分。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内部环境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企业内部具有的节能优势和劣势。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未能体现企业实际情况的，酌情扣分。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综合分析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企业如何抓住机遇、发挥优势、应对挑战，提出规划期总体节能基本设想。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介绍清晰、完整得满分，介绍不清楚、不规范的酌情扣分。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节能潜力分析</w:t>
            </w:r>
          </w:p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（24分）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结构潜力分析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分析能源结构、产品结构、原料结构变化对节能的影响。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通过结构潜力分析对节能的影响；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技术潜力分析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分析生产工序能耗差距、能源介质输送分配环节、能源利用效率、设备节能情况等方面对节能的影响。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通过技术潜力分析对节能的影响；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管理潜力分析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分析企业节能管理存在的问题及和策略对节能的影响。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通过管理潜力分析对节能的影响；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指导思想、遵循原则和规划目标   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指导思想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体现实践科学发展观、落实节约优先方针，立足当前实，实现节能减排目标的整体思路。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介绍清晰、完整得满分，介绍不清楚、不规范的酌情扣分。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遵循原则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体现执行国家产业发展政策和节能技术政策，优化产品结构、能源结构，持续改进节能管理的总体做法。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介绍清晰、完整得满分，介绍不清楚、不规范的酌情扣分。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规划目标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结合企业总体规划和未来发展生产预测，将规划指标分解到“十四五”每年目标。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介绍清晰、完整得满分，介绍不清楚、不规范的酌情扣分。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重点项目</w:t>
            </w:r>
          </w:p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结构节能重点项目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简述项目在流程优化、原材料优化、产品结构调整优化等方面的方案、投资、实施时间和实施效果等。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按照各项目的内容、逻辑、合理度、可实施性和完整度进行评分。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技术节能重点项目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简述项目在技术装备水平、设备大型化、能源系统优化、先进节能技术、余热回收、新能源替代等方面的方案、投资、实施时间和实施效果等。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按照各项目的内容、逻辑、合理度、可实施性和完整度进行评分。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管理节能重点项目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简述项目在完善能源计量检测、能源管理信息化等方面的方案、投资、实施时间和实施效果等。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按照各项目的内容、逻辑、合理度、可实施性和完整度进行评分。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重点项目汇总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对上述重点项目汇总成表格，应包括：节能量、投资金额、效益、实施时间安排等。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介绍清晰、完整得满分，介绍不清楚、不规范的酌情扣分。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保障措施</w:t>
            </w:r>
          </w:p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企业完成“十四五”节能规划的保障措施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简述建立健全节能管理体系、组织架构、管理机制、监督检查和考核制度，加强节能宣传、培训和交流，确保资金投入等方面的具体做法。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每一项保障措施可得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分，满分4分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节能规划报告规范完整     </w:t>
            </w:r>
          </w:p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(4分)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报告审批程序完成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封面中报告和编辑单位须加盖公章及法人签名确认。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检查报告内容，缺项扣分。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报告格式合理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节能规划报告装订成册，报告内容包括封面、目录、正文和附件。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检查报告内容，不符合的酌情扣分。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报告编写规范，报告内容完整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节能规划报告按照《企业节能规划编制通则》（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GB/T25329-2010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）进行编写。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检查报告内容，数据不真实、证据不充分的酌情扣分。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778" w:type="dxa"/>
            <w:vMerge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报告数据真实可溯</w:t>
            </w:r>
          </w:p>
        </w:tc>
        <w:tc>
          <w:tcPr>
            <w:tcW w:w="5117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节能规划报告采用的数据应真实可靠，不得谎报。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814" w:type="dxa"/>
            <w:shd w:val="clear" w:color="auto" w:fill="auto"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检查报告内容，缺项扣分。</w:t>
            </w:r>
          </w:p>
        </w:tc>
      </w:tr>
      <w:tr>
        <w:tblPrEx>
          <w:tblW w:w="1354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873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等线" w:hAnsi="Calibri" w:cs="Calibri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82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headerReference w:type="even" r:id="rId5"/>
      <w:headerReference w:type="default" r:id="rId6"/>
      <w:headerReference w:type="first" r:id="rId7"/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o:spid="_x0000_s2051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62336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5:22"/>
        </v:shape>
      </w:pict>
    </w:r>
  </w:p>
  <w:p>
    <w:r>
      <w:pict>
        <v:shape id="_x0000_s2052" type="#_x0000_t136" style="width:280pt;height:44pt;margin-top:0;margin-left:0;mso-position-horizontal:center;mso-position-horizontal-relative:page;mso-position-vertical:center;mso-position-vertical-relative:page;position:absolute;rotation:-45;z-index:251660288" fillcolor="#e3e4e6" strokecolor="#f4f5f6">
          <v:textpath style="font-family:'宋体'" string="深圳市工业和信息化局 夏良庆（非）&#10;2021-06-07 10:32:45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width:280pt;height:44pt;margin-top:0;margin-left:0;mso-position-horizontal:center;mso-position-horizontal-relative:page;mso-position-vertical:center;mso-position-vertical-relative:page;position:absolute;rotation:-45;z-index:251661312" fillcolor="#e3e4e6" strokecolor="#f4f5f6">
          <v:textpath style="font-family:'宋体'" string="深圳市工业和信息化局 夏良庆（非）&#10;2021-06-07 10:32:45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o:spid="_x0000_s2049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58240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5:22"/>
        </v:shape>
      </w:pict>
    </w:r>
  </w:p>
  <w:p>
    <w:r>
      <w:pict>
        <v:shape id="_x0000_s2050" type="#_x0000_t136" style="width:280pt;height:44pt;margin-top:0;margin-left:0;mso-position-horizontal:center;mso-position-horizontal-relative:page;mso-position-vertical:center;mso-position-vertical-relative:page;position:absolute;rotation:-45;z-index:251659264" fillcolor="#e3e4e6" strokecolor="#f4f5f6">
          <v:textpath style="font-family:'宋体'" string="深圳市工业和信息化局 夏良庆（非）&#10;2021-06-07 10:32:45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2">
    <w:name w:val="标题 2 字符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zhulanzhi@szslczx.com</dc:creator>
  <cp:lastModifiedBy>陈琼芬（非）</cp:lastModifiedBy>
  <cp:revision>32</cp:revision>
  <dcterms:created xsi:type="dcterms:W3CDTF">2021-05-18T01:55:00Z</dcterms:created>
  <dcterms:modified xsi:type="dcterms:W3CDTF">2021-06-04T01:26:39Z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