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ind w:firstLine="0" w:firstLineChars="0"/>
        <w:rPr>
          <w:rFonts w:hint="eastAsia" w:ascii="黑体" w:hAnsi="黑体" w:eastAsia="黑体"/>
          <w:szCs w:val="32"/>
          <w:shd w:val="clear" w:color="auto" w:fill="FFFFFF"/>
        </w:rPr>
      </w:pPr>
      <w:r>
        <w:rPr>
          <w:rFonts w:hint="eastAsia" w:ascii="黑体" w:hAnsi="黑体" w:eastAsia="黑体"/>
          <w:szCs w:val="32"/>
          <w:shd w:val="clear" w:color="auto" w:fill="FFFFFF"/>
        </w:rPr>
        <w:t>附件</w:t>
      </w:r>
    </w:p>
    <w:p>
      <w:pPr>
        <w:autoSpaceDE w:val="0"/>
        <w:ind w:firstLine="0" w:firstLineChars="0"/>
        <w:rPr>
          <w:rFonts w:ascii="黑体" w:hAnsi="黑体" w:eastAsia="黑体"/>
          <w:szCs w:val="32"/>
          <w:shd w:val="clear" w:color="auto" w:fill="FFFFFF"/>
        </w:rPr>
      </w:pPr>
    </w:p>
    <w:p>
      <w:pPr>
        <w:autoSpaceDE w:val="0"/>
        <w:ind w:firstLine="0" w:firstLineChars="0"/>
        <w:jc w:val="center"/>
        <w:rPr>
          <w:rFonts w:hint="eastAsia" w:ascii="方正小标宋简体" w:hAnsi="Calibri" w:eastAsia="方正小标宋简体"/>
          <w:sz w:val="44"/>
          <w:szCs w:val="44"/>
          <w:shd w:val="clear" w:color="auto" w:fill="FFFFFF"/>
        </w:rPr>
      </w:pPr>
      <w:r>
        <w:rPr>
          <w:rFonts w:hint="eastAsia" w:ascii="方正小标宋简体" w:hAnsi="Calibri" w:eastAsia="方正小标宋简体"/>
          <w:sz w:val="44"/>
          <w:szCs w:val="44"/>
          <w:shd w:val="clear" w:color="auto" w:fill="FFFFFF"/>
        </w:rPr>
        <w:t>《深圳市技术改造倍增专项操作规程（征求意见稿）》社会公众意见</w:t>
      </w:r>
    </w:p>
    <w:p>
      <w:pPr>
        <w:autoSpaceDE w:val="0"/>
        <w:ind w:firstLine="0" w:firstLineChars="0"/>
        <w:jc w:val="center"/>
        <w:rPr>
          <w:rFonts w:hint="eastAsia" w:ascii="方正小标宋简体" w:hAnsi="Calibri" w:eastAsia="方正小标宋简体"/>
          <w:sz w:val="44"/>
          <w:szCs w:val="44"/>
          <w:shd w:val="clear" w:color="auto" w:fill="FFFFFF"/>
        </w:rPr>
      </w:pPr>
      <w:r>
        <w:rPr>
          <w:rFonts w:hint="eastAsia" w:ascii="方正小标宋简体" w:hAnsi="Calibri" w:eastAsia="方正小标宋简体"/>
          <w:sz w:val="44"/>
          <w:szCs w:val="44"/>
          <w:shd w:val="clear" w:color="auto" w:fill="FFFFFF"/>
        </w:rPr>
        <w:t>采纳情况表</w:t>
      </w:r>
    </w:p>
    <w:p>
      <w:pPr>
        <w:autoSpaceDE w:val="0"/>
        <w:ind w:firstLine="0" w:firstLineChars="0"/>
        <w:jc w:val="center"/>
        <w:rPr>
          <w:rFonts w:hint="eastAsia" w:ascii="仿宋_GB2312" w:hAnsi="Calibri"/>
          <w:szCs w:val="32"/>
          <w:shd w:val="clear" w:color="auto" w:fill="FFFFFF"/>
        </w:rPr>
      </w:pPr>
    </w:p>
    <w:tbl>
      <w:tblPr>
        <w:tblStyle w:val="20"/>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428"/>
        <w:gridCol w:w="6612"/>
        <w:gridCol w:w="5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735"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黑体" w:hAnsi="宋体" w:eastAsia="黑体"/>
                <w:color w:val="000000"/>
                <w:sz w:val="22"/>
                <w:szCs w:val="22"/>
              </w:rPr>
            </w:pPr>
            <w:r>
              <w:rPr>
                <w:rFonts w:hint="eastAsia" w:ascii="黑体" w:hAnsi="宋体" w:eastAsia="黑体"/>
                <w:color w:val="000000"/>
                <w:kern w:val="0"/>
                <w:sz w:val="22"/>
                <w:szCs w:val="22"/>
              </w:rPr>
              <w:t>序号</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黑体" w:hAnsi="宋体" w:eastAsia="黑体"/>
                <w:color w:val="000000"/>
                <w:sz w:val="22"/>
                <w:szCs w:val="22"/>
              </w:rPr>
            </w:pPr>
            <w:r>
              <w:rPr>
                <w:rFonts w:hint="eastAsia" w:ascii="黑体" w:hAnsi="宋体" w:eastAsia="黑体"/>
                <w:color w:val="000000"/>
                <w:kern w:val="0"/>
                <w:sz w:val="22"/>
                <w:szCs w:val="22"/>
              </w:rPr>
              <w:t>单位名称</w:t>
            </w:r>
          </w:p>
        </w:tc>
        <w:tc>
          <w:tcPr>
            <w:tcW w:w="661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黑体" w:hAnsi="宋体" w:eastAsia="黑体"/>
                <w:color w:val="000000"/>
                <w:sz w:val="22"/>
                <w:szCs w:val="22"/>
              </w:rPr>
            </w:pPr>
            <w:r>
              <w:rPr>
                <w:rFonts w:hint="eastAsia" w:ascii="黑体" w:hAnsi="宋体" w:eastAsia="黑体"/>
                <w:color w:val="000000"/>
                <w:kern w:val="0"/>
                <w:sz w:val="22"/>
                <w:szCs w:val="22"/>
              </w:rPr>
              <w:t>反馈意见</w:t>
            </w:r>
          </w:p>
        </w:tc>
        <w:tc>
          <w:tcPr>
            <w:tcW w:w="5160"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黑体" w:hAnsi="宋体" w:eastAsia="黑体"/>
                <w:color w:val="000000"/>
                <w:sz w:val="22"/>
                <w:szCs w:val="22"/>
              </w:rPr>
            </w:pPr>
            <w:r>
              <w:rPr>
                <w:rFonts w:hint="eastAsia" w:ascii="黑体" w:hAnsi="宋体" w:eastAsia="黑体"/>
                <w:color w:val="000000"/>
                <w:kern w:val="0"/>
                <w:sz w:val="22"/>
                <w:szCs w:val="22"/>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60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1</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深圳市好年璟科技有限公司</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我司注册地在深圳，经营5年后因场地限制，搬至东莞凤岗，但总部和纳税均在深圳，东莞只是没有法人资格的制造工厂而已。从去年至今年，为了加大发展力度，我司已经累计投资近7000万用于技术改造，其中设备投入、仪器、厂房改造升级、软件等均花费大量资金，但一直受限于政策要求，无法享受相关的资金补贴，而如此巨大的投资额度也使我司经营压力巨大，一定程度上又限制了企业的快速发展。此次意见稿修订的内容第七条第2点，正好解决了我司的痛苦，诚恳请求此条意见稿能正式通过，正如意见稿修订说明中所述，类似我们这样的企业非常多，我们同深圳其他企业一样在为深圳的建设做贡献，希望政府不要忽视我们这类企业的存在，助力企业的发展。</w:t>
            </w:r>
            <w:r>
              <w:rPr>
                <w:rFonts w:hint="eastAsia" w:ascii="仿宋_GB2312" w:hAnsi="宋体"/>
                <w:color w:val="000000"/>
                <w:kern w:val="0"/>
                <w:sz w:val="20"/>
              </w:rPr>
              <w:br w:type="textWrapping"/>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为将总部设在深圳、仍在深圳缴纳所得税、只将生产制造环节转移到省内其他地方所设非法人分支机构的深圳企业纳入资助范畴，使这些企业享受到深圳的扶持政策，便于正面引导企业有序布局制造环节，在第七条第（二）项条款中明确技术改造投资项目和技术装备及管理智能化提升项目可以在申报主体位于广东省内的非法人分支机构实施，但该分支机构的企业所得税须按规定由总机构汇总申报，按税收规定比例进行分配在深圳就地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120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2</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翁梅茂</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关于企业质量品牌提升项目的资助方向，表述文字中的“工业和信息化领域的企业”没有像技术改造投资补贴项目和技术装备及管理智能化提升项目那样明确范围，是否是两化融合贯标试点中的制造业或生产性服务业企业都可以申报，若不是，建议明确具体范围，方便各大企业理解、判断。</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采纳。已修改第九条第（一）项条款，具体表述，支持范围定义为：工业和信息化领域的产品和服务品牌，而对品牌企业的属性和领域没有限制。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216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3</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深圳市鑫荣懋集团公司</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公司是一家水果全程产业链企业，从种苗研发（工业化管理）-种植（物联网信息化管理）-运输-仓储（WMS）-加工（智能数字化车间）-分选（无人化机器人分选）-配送-营销（品牌提升），公司业务各环节与信息化密不可分，从量到质到精，品牌打造、品牌提升是公司战略发展中一项很重要的环节。公司总部在深圳，是深圳市总部企业，公司是宝安区纳税百强企业，是深圳市500强企业。我们希望附件1《征求意见稿》第九条质量品牌双提升扶持计划，资助方向能象2017年一样有其他优势企业或深圳市总部企业能加上，谢谢。</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采纳。已修改第九条第（一）项条款，具体表述，支持范围定义为：工业和信息化领域的产品和服务品牌，而对品牌企业的属性和领域没有限制。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72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4</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深圳光韵达激光应用技术有限公司</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政策里提到的技术改造投资补贴的增加的20%其它费用，并未明确指出是哪部分费用，是否可以明确指出其它费用类别，比如是否包括宣传费、检测费、专家咨询费等费用？</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采纳。费用类别将在申报指南和审计原则中进行明确。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96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5</w:t>
            </w:r>
          </w:p>
        </w:tc>
        <w:tc>
          <w:tcPr>
            <w:tcW w:w="1428" w:type="dxa"/>
            <w:vMerge w:val="restart"/>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深圳市永丰源</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一、品牌由集团公司负责运营，但其不是制造企业，而属于贸易公司，影响企业申报资助。</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采纳。已修改第九条第（一）项条款，支持范围定义为：工业和信息化领域的产品和服务品牌，而对品牌企业的属性和领域没有限制。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765"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6</w:t>
            </w:r>
          </w:p>
        </w:tc>
        <w:tc>
          <w:tcPr>
            <w:tcW w:w="1428" w:type="dxa"/>
            <w:vMerge w:val="continue"/>
            <w:noWrap w:val="0"/>
            <w:tcMar>
              <w:top w:w="15" w:type="dxa"/>
              <w:left w:w="15" w:type="dxa"/>
              <w:bottom w:w="0" w:type="dxa"/>
              <w:right w:w="15" w:type="dxa"/>
            </w:tcMar>
            <w:vAlign w:val="center"/>
          </w:tcPr>
          <w:p>
            <w:pPr>
              <w:widowControl/>
              <w:spacing w:line="240" w:lineRule="auto"/>
              <w:ind w:firstLine="0" w:firstLineChars="0"/>
              <w:jc w:val="left"/>
              <w:rPr>
                <w:rFonts w:ascii="宋体" w:hAnsi="宋体" w:eastAsia="宋体"/>
                <w:color w:val="000000"/>
                <w:sz w:val="20"/>
              </w:rPr>
            </w:pP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二、广告宣传会采取资源互换形式，虽有合同和发票，但因没有付款凭证而无法获得资助，希望能纳入资助。</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采纳。已吸收采纳相应调整审计原则。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48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7</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深圳安吉尔</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企业内部的质量管理体系建设和质量认证非常重要，且投入很大，建议资助。</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采纳。已吸收采纳相应调整审计原则。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58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8</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欣旺达</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企业质量检测实验室的建设费用投入很大，希望给予资助。</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采纳。已吸收采纳相应调整审计原则。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665"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9</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质量协会</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讲好品牌故事需要品牌的内容制作+媒体推广+展会、参加全国性或国际品牌大赛、沙龙活动，新媒体营销等多种方式，希望纳入资助。</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采纳。已吸收采纳相应调整审计原则。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192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10</w:t>
            </w:r>
          </w:p>
        </w:tc>
        <w:tc>
          <w:tcPr>
            <w:tcW w:w="1428"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周大福珠宝金行（深圳）有限公司</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符合申报项目基本条件，且有实际生产制造环节——修改意见如下：建议申报单位的下属公司（子公司）如已涵盖实际生产制造环节，其母公司（即申报单位）可适用该项申报条件。</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不采纳。理由：1.企业技术改造扶持计划的支持方向是企业的技术改造投资，支持范围以企业生产设备等固定资产更新改造为主，生产配套环节投入为辅，完全没有生产环节的生产性服务业项目非技改倍增专项的支持重点；2.项目申报单位与项目实施单位应为同一法人主体，母公司与子公司为两个不同的法人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1393"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11</w:t>
            </w:r>
          </w:p>
        </w:tc>
        <w:tc>
          <w:tcPr>
            <w:tcW w:w="1428" w:type="dxa"/>
            <w:vMerge w:val="restart"/>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宋体" w:hAnsi="宋体" w:eastAsia="宋体"/>
                <w:color w:val="000000"/>
                <w:sz w:val="20"/>
              </w:rPr>
            </w:pPr>
            <w:r>
              <w:rPr>
                <w:rFonts w:hint="eastAsia" w:ascii="宋体" w:hAnsi="宋体" w:eastAsia="宋体"/>
                <w:color w:val="000000"/>
                <w:kern w:val="0"/>
                <w:sz w:val="20"/>
              </w:rPr>
              <w:t>富士康科技集团</w:t>
            </w: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一、关于申报主体，建议将项目实施地和实际经营地在深圳的非法人分支机构纳入奖励范围。</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不采纳。我局产业发展资金管理办法明确专项资金支持对象为在本市行政区域内（含深汕合作区）依法登记注册、具有独立法人资格且符合要求的机关事业单位、社会组织、企业以及经批准的其它扶持对象。非深圳市注册的法人主体不在资助之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2796"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12</w:t>
            </w:r>
          </w:p>
        </w:tc>
        <w:tc>
          <w:tcPr>
            <w:tcW w:w="1428" w:type="dxa"/>
            <w:vMerge w:val="continue"/>
            <w:noWrap w:val="0"/>
            <w:tcMar>
              <w:top w:w="15" w:type="dxa"/>
              <w:left w:w="15" w:type="dxa"/>
              <w:bottom w:w="0" w:type="dxa"/>
              <w:right w:w="15" w:type="dxa"/>
            </w:tcMar>
            <w:vAlign w:val="center"/>
          </w:tcPr>
          <w:p>
            <w:pPr>
              <w:widowControl/>
              <w:spacing w:line="240" w:lineRule="auto"/>
              <w:ind w:firstLine="0" w:firstLineChars="0"/>
              <w:jc w:val="left"/>
              <w:rPr>
                <w:rFonts w:ascii="宋体" w:hAnsi="宋体" w:eastAsia="宋体"/>
                <w:color w:val="000000"/>
                <w:sz w:val="20"/>
              </w:rPr>
            </w:pP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二、针对技术改造单个项目按照不超过申报单位上年度实际完成技术改造投资额（含制造及配套环节投入）的10%或20%给予资助，且年度资助最高不超过1000万元或2000万元，建议：1.提高奖励比例，奖励金额不设限制。2.允许年产值或主营收入达100亿及以上的大型工业企业申报多个项目。</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不采纳。理由：1.市技术改造倍增专项实行普惠项目可叠加其他技改项目申报，资助比例高达30%，且同一项目可同时申报区的技术改造资助，市、区两级资助比例最高可达60%，不宜再进一步提高资助比例，且受政府财政资金预算规模限制，无法实现奖励金额不设限制和不设项目数量限制；2.本操作规程时依据《深圳市关于实施技术改造倍增计划扩大工业有效投资的行动方案（2017—2020年）》（深府办〔2017〕22号）和《深圳市关于实施技术改造倍增计划扩大工业有效投资的若干措施》（深府办规〔2017〕9号）制定的，其中《若干措施》已经明确了各项目的资助比列和资助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288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13</w:t>
            </w:r>
          </w:p>
        </w:tc>
        <w:tc>
          <w:tcPr>
            <w:tcW w:w="1428" w:type="dxa"/>
            <w:vMerge w:val="continue"/>
            <w:noWrap w:val="0"/>
            <w:tcMar>
              <w:top w:w="15" w:type="dxa"/>
              <w:left w:w="15" w:type="dxa"/>
              <w:bottom w:w="0" w:type="dxa"/>
              <w:right w:w="15" w:type="dxa"/>
            </w:tcMar>
            <w:vAlign w:val="center"/>
          </w:tcPr>
          <w:p>
            <w:pPr>
              <w:widowControl/>
              <w:spacing w:line="240" w:lineRule="auto"/>
              <w:ind w:firstLine="0" w:firstLineChars="0"/>
              <w:jc w:val="left"/>
              <w:rPr>
                <w:rFonts w:ascii="宋体" w:hAnsi="宋体" w:eastAsia="宋体"/>
                <w:color w:val="000000"/>
                <w:sz w:val="20"/>
              </w:rPr>
            </w:pP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三、针对重大项目奖补，建议：1.提高奖励比例，奖励金额不设限制。2.明确追溯期是至项目申报日前2个年度，还是项目申报年度的前2个年度。3.允许年产值或主营收入达100亿及以上大型工业企业申报多个项目。</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部分采纳。建议1不采纳，市技术改造倍增专项实行普惠项目可叠加其他技改项目申报，资助比例高达30%，且同一项目可同时申报区的技术改造资助，市、区两级资助比例最高可达60%，不宜再进一步提高资助比例，且受政府财政资金预算规模限制，无法实现奖励金额不设限制和不设项目数量限制。建议2采纳，已明确为项目申报的前2个年度，即从申报当年度再往前追溯至前2个年度，而非从申报日往前追溯2年，将资助时限最大化。建议3不采纳，受财政资金预算限制，每个企业每年只能申报一个新项目，且单一企业、单一年度的资助额不超过5000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1200" w:hRule="atLeast"/>
        </w:trPr>
        <w:tc>
          <w:tcPr>
            <w:tcW w:w="732" w:type="dxa"/>
            <w:noWrap w:val="0"/>
            <w:tcMar>
              <w:top w:w="15" w:type="dxa"/>
              <w:left w:w="15" w:type="dxa"/>
              <w:bottom w:w="0" w:type="dxa"/>
              <w:right w:w="15" w:type="dxa"/>
            </w:tcMar>
            <w:vAlign w:val="center"/>
          </w:tcPr>
          <w:p>
            <w:pPr>
              <w:widowControl/>
              <w:spacing w:line="240" w:lineRule="auto"/>
              <w:ind w:firstLine="0" w:firstLineChars="0"/>
              <w:jc w:val="center"/>
              <w:textAlignment w:val="center"/>
              <w:rPr>
                <w:rFonts w:ascii="仿宋_GB2312" w:hAnsi="宋体"/>
                <w:color w:val="000000"/>
                <w:sz w:val="20"/>
              </w:rPr>
            </w:pPr>
            <w:r>
              <w:rPr>
                <w:rFonts w:hint="eastAsia" w:ascii="仿宋_GB2312" w:hAnsi="宋体"/>
                <w:color w:val="000000"/>
                <w:kern w:val="0"/>
                <w:sz w:val="20"/>
              </w:rPr>
              <w:t>14</w:t>
            </w:r>
          </w:p>
        </w:tc>
        <w:tc>
          <w:tcPr>
            <w:tcW w:w="1428" w:type="dxa"/>
            <w:vMerge w:val="continue"/>
            <w:noWrap w:val="0"/>
            <w:tcMar>
              <w:top w:w="15" w:type="dxa"/>
              <w:left w:w="15" w:type="dxa"/>
              <w:bottom w:w="0" w:type="dxa"/>
              <w:right w:w="15" w:type="dxa"/>
            </w:tcMar>
            <w:vAlign w:val="center"/>
          </w:tcPr>
          <w:p>
            <w:pPr>
              <w:widowControl/>
              <w:spacing w:line="240" w:lineRule="auto"/>
              <w:ind w:firstLine="0" w:firstLineChars="0"/>
              <w:jc w:val="left"/>
              <w:rPr>
                <w:rFonts w:ascii="宋体" w:hAnsi="宋体" w:eastAsia="宋体"/>
                <w:color w:val="000000"/>
                <w:sz w:val="20"/>
              </w:rPr>
            </w:pPr>
          </w:p>
        </w:tc>
        <w:tc>
          <w:tcPr>
            <w:tcW w:w="6612"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四、针对第三十一条第四款规定不予</w:t>
            </w:r>
            <w:r>
              <w:rPr>
                <w:rFonts w:ascii="宋体" w:hAnsi="宋体" w:eastAsia="宋体"/>
                <w:color w:val="000000"/>
                <w:sz w:val="20"/>
              </w:rPr>
              <w:t>资助</w:t>
            </w:r>
            <w:r>
              <w:rPr>
                <w:rFonts w:hint="eastAsia" w:ascii="宋体" w:hAnsi="宋体" w:eastAsia="宋体"/>
                <w:color w:val="000000"/>
                <w:sz w:val="20"/>
                <w:lang w:val="en-US" w:eastAsia="zh-CN"/>
              </w:rPr>
              <w:t>情况</w:t>
            </w:r>
            <w:bookmarkStart w:id="0" w:name="_GoBack"/>
            <w:bookmarkEnd w:id="0"/>
            <w:r>
              <w:rPr>
                <w:rFonts w:ascii="仿宋_GB2312" w:hAnsi="宋体"/>
                <w:color w:val="000000"/>
                <w:sz w:val="20"/>
              </w:rPr>
              <w:t>之一：“申报单位提交的经营数据被市统计部门认定超出误差范围”。1.建议删除此条款或修改为：申报单位故意提供虚假经营数据的。2.若因偶然操作失误等无意造成误差的，应</w:t>
            </w:r>
            <w:r>
              <w:rPr>
                <w:rFonts w:ascii="宋体" w:hAnsi="宋体" w:eastAsia="宋体"/>
                <w:color w:val="000000"/>
                <w:sz w:val="20"/>
              </w:rPr>
              <w:t>給</w:t>
            </w:r>
            <w:r>
              <w:rPr>
                <w:rFonts w:ascii="仿宋_GB2312" w:hAnsi="宋体"/>
                <w:color w:val="000000"/>
                <w:sz w:val="20"/>
              </w:rPr>
              <w:t>予</w:t>
            </w:r>
            <w:r>
              <w:rPr>
                <w:rFonts w:ascii="宋体" w:hAnsi="宋体" w:eastAsia="宋体"/>
                <w:color w:val="000000"/>
                <w:sz w:val="20"/>
              </w:rPr>
              <w:t>说</w:t>
            </w:r>
            <w:r>
              <w:rPr>
                <w:rFonts w:ascii="仿宋_GB2312" w:hAnsi="宋体"/>
                <w:color w:val="000000"/>
                <w:sz w:val="20"/>
              </w:rPr>
              <w:t>明补救。</w:t>
            </w:r>
          </w:p>
        </w:tc>
        <w:tc>
          <w:tcPr>
            <w:tcW w:w="5160" w:type="dxa"/>
            <w:noWrap w:val="0"/>
            <w:tcMar>
              <w:top w:w="15" w:type="dxa"/>
              <w:left w:w="15" w:type="dxa"/>
              <w:bottom w:w="0" w:type="dxa"/>
              <w:right w:w="15" w:type="dxa"/>
            </w:tcMar>
            <w:vAlign w:val="center"/>
          </w:tcPr>
          <w:p>
            <w:pPr>
              <w:widowControl/>
              <w:spacing w:line="240" w:lineRule="auto"/>
              <w:ind w:firstLine="0" w:firstLineChars="0"/>
              <w:textAlignment w:val="center"/>
              <w:rPr>
                <w:rFonts w:ascii="仿宋_GB2312" w:hAnsi="宋体"/>
                <w:color w:val="000000"/>
                <w:sz w:val="20"/>
              </w:rPr>
            </w:pPr>
            <w:r>
              <w:rPr>
                <w:rFonts w:hint="eastAsia" w:ascii="仿宋_GB2312" w:hAnsi="宋体"/>
                <w:color w:val="000000"/>
                <w:kern w:val="0"/>
                <w:sz w:val="20"/>
              </w:rPr>
              <w:t>不采纳。按照《深圳市人民政府办公厅关于印发规范政府涉企数据管理工作的通知》（深府办函</w:t>
            </w:r>
            <w:r>
              <w:rPr>
                <w:rFonts w:hint="eastAsia" w:ascii="仿宋_GB2312" w:hAnsi="仿宋_GB2312" w:cs="仿宋_GB2312"/>
                <w:color w:val="000000"/>
                <w:kern w:val="0"/>
                <w:sz w:val="20"/>
              </w:rPr>
              <w:t>〔</w:t>
            </w:r>
            <w:r>
              <w:rPr>
                <w:rFonts w:hint="eastAsia" w:ascii="仿宋_GB2312" w:hAnsi="宋体"/>
                <w:color w:val="000000"/>
                <w:kern w:val="0"/>
                <w:sz w:val="20"/>
              </w:rPr>
              <w:t>2016</w:t>
            </w:r>
            <w:r>
              <w:rPr>
                <w:rFonts w:hint="eastAsia" w:ascii="仿宋_GB2312" w:hAnsi="仿宋_GB2312" w:cs="仿宋_GB2312"/>
                <w:color w:val="000000"/>
                <w:kern w:val="0"/>
                <w:sz w:val="20"/>
              </w:rPr>
              <w:t>〕</w:t>
            </w:r>
            <w:r>
              <w:rPr>
                <w:rFonts w:hint="eastAsia" w:ascii="仿宋_GB2312" w:hAnsi="宋体"/>
                <w:color w:val="000000"/>
                <w:kern w:val="0"/>
                <w:sz w:val="20"/>
              </w:rPr>
              <w:t>159号）执行，在数据核对过程中会给超出误差的企业进行整改说明的机会。</w:t>
            </w:r>
          </w:p>
        </w:tc>
      </w:tr>
    </w:tbl>
    <w:p>
      <w:pPr>
        <w:spacing w:line="20" w:lineRule="exact"/>
        <w:ind w:firstLine="0" w:firstLineChars="0"/>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8" w:right="2098" w:bottom="1418" w:left="1418" w:header="851" w:footer="1134" w:gutter="0"/>
          <w:pgNumType w:fmt="numberInDash"/>
          <w:cols w:space="720" w:num="1"/>
          <w:formProt w:val="0"/>
          <w:titlePg/>
          <w:docGrid w:type="lines" w:linePitch="573" w:charSpace="-1843"/>
        </w:sectPr>
      </w:pPr>
    </w:p>
    <w:p>
      <w:pPr>
        <w:spacing w:line="20" w:lineRule="exact"/>
        <w:ind w:firstLine="0" w:firstLineChars="0"/>
        <w:rPr>
          <w:rFonts w:hint="eastAsia"/>
        </w:rPr>
      </w:pPr>
    </w:p>
    <w:tbl>
      <w:tblPr>
        <w:tblStyle w:val="20"/>
        <w:tblpPr w:leftFromText="181" w:rightFromText="181" w:vertAnchor="page" w:horzAnchor="margin" w:tblpY="14327"/>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5812"/>
        <w:gridCol w:w="3260"/>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wBefore w:w="0" w:type="dxa"/>
          <w:wAfter w:w="0" w:type="dxa"/>
          <w:trHeight w:val="286" w:hRule="atLeast"/>
        </w:trPr>
        <w:tc>
          <w:tcPr>
            <w:tcW w:w="5812" w:type="dxa"/>
            <w:tcBorders>
              <w:bottom w:val="single" w:color="auto" w:sz="4" w:space="0"/>
            </w:tcBorders>
            <w:noWrap w:val="0"/>
            <w:vAlign w:val="top"/>
          </w:tcPr>
          <w:p>
            <w:pPr>
              <w:tabs>
                <w:tab w:val="left" w:pos="5598"/>
              </w:tabs>
              <w:adjustRightInd w:val="0"/>
              <w:spacing w:after="57" w:afterLines="10" w:line="560" w:lineRule="exact"/>
              <w:ind w:firstLine="280" w:firstLineChars="103"/>
              <w:rPr>
                <w:rFonts w:hint="eastAsia" w:ascii="仿宋_GB2312"/>
                <w:sz w:val="28"/>
                <w:szCs w:val="28"/>
              </w:rPr>
            </w:pPr>
            <w:r>
              <w:rPr>
                <w:rFonts w:hint="eastAsia" w:ascii="仿宋_GB2312" w:hAnsi="华文仿宋"/>
                <w:sz w:val="28"/>
                <w:szCs w:val="28"/>
              </w:rPr>
              <w:t>深圳市工业和信息化局办公室</w:t>
            </w:r>
          </w:p>
        </w:tc>
        <w:tc>
          <w:tcPr>
            <w:tcW w:w="3260" w:type="dxa"/>
            <w:tcBorders>
              <w:bottom w:val="single" w:color="auto" w:sz="4" w:space="0"/>
            </w:tcBorders>
            <w:noWrap w:val="0"/>
            <w:vAlign w:val="top"/>
          </w:tcPr>
          <w:p>
            <w:pPr>
              <w:tabs>
                <w:tab w:val="left" w:pos="5598"/>
              </w:tabs>
              <w:adjustRightInd w:val="0"/>
              <w:spacing w:line="560" w:lineRule="exact"/>
              <w:ind w:firstLine="272" w:firstLineChars="100"/>
              <w:rPr>
                <w:rFonts w:hint="eastAsia" w:ascii="仿宋_GB2312"/>
                <w:sz w:val="28"/>
                <w:szCs w:val="28"/>
              </w:rPr>
            </w:pPr>
            <w:r>
              <w:rPr>
                <w:rFonts w:hint="eastAsia" w:ascii="仿宋_GB2312"/>
                <w:sz w:val="28"/>
                <w:szCs w:val="28"/>
              </w:rPr>
              <w:t xml:space="preserve">2019年4月11日印发 </w:t>
            </w:r>
          </w:p>
        </w:tc>
      </w:tr>
    </w:tbl>
    <w:p>
      <w:pPr>
        <w:spacing w:line="20" w:lineRule="exact"/>
        <w:ind w:firstLine="0" w:firstLineChars="0"/>
        <w:rPr>
          <w:rFonts w:hint="eastAsia"/>
        </w:rPr>
      </w:pPr>
    </w:p>
    <w:sectPr>
      <w:pgSz w:w="11906" w:h="16838"/>
      <w:pgMar w:top="2098" w:right="1418" w:bottom="1418" w:left="1418" w:header="851" w:footer="1134" w:gutter="0"/>
      <w:pgNumType w:fmt="numberInDash"/>
      <w:cols w:space="720" w:num="1"/>
      <w:formProt w:val="0"/>
      <w:titlePg/>
      <w:docGrid w:type="linesAndChars" w:linePitch="573" w:charSpace="-1843"/>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4">
      <wne:acd wne:acdName="acd1"/>
    </wne:keymap>
  </wne:keymaps>
  <wne:acds>
    <wne:acd wne:argValue="AQAAAAEA" wne:acdName="acd0" wne:fciIndexBasedOn="0065"/>
    <wne:acd wne:argValue="AgDRnlNP"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公文小标宋简">
    <w:altName w:val="宋体"/>
    <w:panose1 w:val="02010609010101010101"/>
    <w:charset w:val="86"/>
    <w:family w:val="modern"/>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r>
      <w:fldChar w:fldCharType="begin"/>
    </w:r>
    <w:r>
      <w:instrText xml:space="preserve"> PAGE   \* MERGEFORMAT </w:instrText>
    </w:r>
    <w:r>
      <w:fldChar w:fldCharType="separate"/>
    </w:r>
    <w:r>
      <w:rPr>
        <w:lang w:val="zh-CN"/>
      </w:rPr>
      <w:t>-</w:t>
    </w:r>
    <w:r>
      <w:rPr>
        <w:lang/>
      </w:rPr>
      <w:t xml:space="preserve"> 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fldChar w:fldCharType="begin"/>
    </w:r>
    <w:r>
      <w:instrText xml:space="preserve"> PAGE   \* MERGEFORMAT </w:instrText>
    </w:r>
    <w:r>
      <w:fldChar w:fldCharType="separate"/>
    </w:r>
    <w:r>
      <w:rPr>
        <w:lang w:val="zh-CN"/>
      </w:rPr>
      <w:t>-</w:t>
    </w:r>
    <w:r>
      <w:rPr>
        <w:lang/>
      </w:rPr>
      <w:t xml:space="preserve"> 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360"/>
  <w:evenAndOddHeaders w:val="1"/>
  <w:drawingGridHorizontalSpacing w:val="311"/>
  <w:drawingGridVerticalSpacing w:val="57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57"/>
    <w:rsid w:val="000036FF"/>
    <w:rsid w:val="000062DB"/>
    <w:rsid w:val="00010641"/>
    <w:rsid w:val="00010870"/>
    <w:rsid w:val="00012623"/>
    <w:rsid w:val="00013FEC"/>
    <w:rsid w:val="000169FC"/>
    <w:rsid w:val="00021AF1"/>
    <w:rsid w:val="00022B76"/>
    <w:rsid w:val="00025183"/>
    <w:rsid w:val="0004068C"/>
    <w:rsid w:val="0004583A"/>
    <w:rsid w:val="00045C39"/>
    <w:rsid w:val="0005049C"/>
    <w:rsid w:val="0005270A"/>
    <w:rsid w:val="000528E3"/>
    <w:rsid w:val="00057EA0"/>
    <w:rsid w:val="00062C2C"/>
    <w:rsid w:val="00064680"/>
    <w:rsid w:val="000676EA"/>
    <w:rsid w:val="00074922"/>
    <w:rsid w:val="00076F4C"/>
    <w:rsid w:val="00087915"/>
    <w:rsid w:val="000A28FA"/>
    <w:rsid w:val="000B26EE"/>
    <w:rsid w:val="000D2C45"/>
    <w:rsid w:val="000D31A9"/>
    <w:rsid w:val="000E18CB"/>
    <w:rsid w:val="000E6F15"/>
    <w:rsid w:val="000F0D57"/>
    <w:rsid w:val="000F2849"/>
    <w:rsid w:val="000F5AF6"/>
    <w:rsid w:val="000F6185"/>
    <w:rsid w:val="000F633F"/>
    <w:rsid w:val="000F6970"/>
    <w:rsid w:val="00100E46"/>
    <w:rsid w:val="00104FDD"/>
    <w:rsid w:val="00110B14"/>
    <w:rsid w:val="00112D81"/>
    <w:rsid w:val="001139F8"/>
    <w:rsid w:val="00115E2A"/>
    <w:rsid w:val="001166D7"/>
    <w:rsid w:val="00127E13"/>
    <w:rsid w:val="00127E33"/>
    <w:rsid w:val="00131F62"/>
    <w:rsid w:val="00133318"/>
    <w:rsid w:val="00136449"/>
    <w:rsid w:val="00136AB8"/>
    <w:rsid w:val="00140DB1"/>
    <w:rsid w:val="00143992"/>
    <w:rsid w:val="001635AA"/>
    <w:rsid w:val="00166E97"/>
    <w:rsid w:val="00167191"/>
    <w:rsid w:val="00176BC7"/>
    <w:rsid w:val="00182846"/>
    <w:rsid w:val="00183021"/>
    <w:rsid w:val="0018320F"/>
    <w:rsid w:val="001837DB"/>
    <w:rsid w:val="00184F40"/>
    <w:rsid w:val="0019034D"/>
    <w:rsid w:val="00190CFC"/>
    <w:rsid w:val="00191B29"/>
    <w:rsid w:val="00196657"/>
    <w:rsid w:val="001A3FC1"/>
    <w:rsid w:val="001B0CF0"/>
    <w:rsid w:val="001B566E"/>
    <w:rsid w:val="001C2542"/>
    <w:rsid w:val="001E1152"/>
    <w:rsid w:val="001E5F1C"/>
    <w:rsid w:val="001F6CF2"/>
    <w:rsid w:val="00205B33"/>
    <w:rsid w:val="00211CED"/>
    <w:rsid w:val="00211F85"/>
    <w:rsid w:val="00216BD3"/>
    <w:rsid w:val="00226203"/>
    <w:rsid w:val="00227668"/>
    <w:rsid w:val="00233476"/>
    <w:rsid w:val="00235F12"/>
    <w:rsid w:val="00244AD4"/>
    <w:rsid w:val="0024573F"/>
    <w:rsid w:val="00247CA2"/>
    <w:rsid w:val="00251FD2"/>
    <w:rsid w:val="00252039"/>
    <w:rsid w:val="00253509"/>
    <w:rsid w:val="0025395C"/>
    <w:rsid w:val="002541A7"/>
    <w:rsid w:val="00254FA4"/>
    <w:rsid w:val="002640F8"/>
    <w:rsid w:val="0027526F"/>
    <w:rsid w:val="00277CA8"/>
    <w:rsid w:val="00283B16"/>
    <w:rsid w:val="00286D6A"/>
    <w:rsid w:val="00290967"/>
    <w:rsid w:val="002A54C1"/>
    <w:rsid w:val="002B0DE9"/>
    <w:rsid w:val="002B14D5"/>
    <w:rsid w:val="002B4209"/>
    <w:rsid w:val="002B4402"/>
    <w:rsid w:val="002B57EF"/>
    <w:rsid w:val="002C2605"/>
    <w:rsid w:val="002C63C1"/>
    <w:rsid w:val="002D171E"/>
    <w:rsid w:val="002D1A83"/>
    <w:rsid w:val="002D6BA2"/>
    <w:rsid w:val="002D7928"/>
    <w:rsid w:val="002D7FA1"/>
    <w:rsid w:val="002E0A0C"/>
    <w:rsid w:val="002F2805"/>
    <w:rsid w:val="002F4109"/>
    <w:rsid w:val="002F66F6"/>
    <w:rsid w:val="002F6EA7"/>
    <w:rsid w:val="0031036F"/>
    <w:rsid w:val="0031057D"/>
    <w:rsid w:val="00312874"/>
    <w:rsid w:val="003128F2"/>
    <w:rsid w:val="0031336B"/>
    <w:rsid w:val="003143C2"/>
    <w:rsid w:val="0031629E"/>
    <w:rsid w:val="0031753B"/>
    <w:rsid w:val="00322485"/>
    <w:rsid w:val="003242A9"/>
    <w:rsid w:val="003261F5"/>
    <w:rsid w:val="003370D5"/>
    <w:rsid w:val="003404E3"/>
    <w:rsid w:val="00342501"/>
    <w:rsid w:val="00342E00"/>
    <w:rsid w:val="0034690F"/>
    <w:rsid w:val="00356412"/>
    <w:rsid w:val="003627B2"/>
    <w:rsid w:val="00363F6D"/>
    <w:rsid w:val="0037426E"/>
    <w:rsid w:val="00377379"/>
    <w:rsid w:val="0038218B"/>
    <w:rsid w:val="00382437"/>
    <w:rsid w:val="003859E1"/>
    <w:rsid w:val="00391C38"/>
    <w:rsid w:val="00397D3E"/>
    <w:rsid w:val="003A02FB"/>
    <w:rsid w:val="003A574F"/>
    <w:rsid w:val="003B68AF"/>
    <w:rsid w:val="003B6D3A"/>
    <w:rsid w:val="003C025E"/>
    <w:rsid w:val="003C1763"/>
    <w:rsid w:val="003C39DC"/>
    <w:rsid w:val="003C3CFC"/>
    <w:rsid w:val="003C5506"/>
    <w:rsid w:val="003C6BA5"/>
    <w:rsid w:val="003D733C"/>
    <w:rsid w:val="003F2370"/>
    <w:rsid w:val="003F43F4"/>
    <w:rsid w:val="003F44F8"/>
    <w:rsid w:val="003F5659"/>
    <w:rsid w:val="00403FF6"/>
    <w:rsid w:val="00406996"/>
    <w:rsid w:val="004101F9"/>
    <w:rsid w:val="0042275E"/>
    <w:rsid w:val="004265AE"/>
    <w:rsid w:val="00427351"/>
    <w:rsid w:val="0042771D"/>
    <w:rsid w:val="004301BA"/>
    <w:rsid w:val="00441069"/>
    <w:rsid w:val="00444EFE"/>
    <w:rsid w:val="00445C55"/>
    <w:rsid w:val="00451762"/>
    <w:rsid w:val="00452146"/>
    <w:rsid w:val="0045300D"/>
    <w:rsid w:val="004612D4"/>
    <w:rsid w:val="00464142"/>
    <w:rsid w:val="00471C86"/>
    <w:rsid w:val="00476E21"/>
    <w:rsid w:val="004910C1"/>
    <w:rsid w:val="00492251"/>
    <w:rsid w:val="00493214"/>
    <w:rsid w:val="00493BC7"/>
    <w:rsid w:val="00494C15"/>
    <w:rsid w:val="00496B18"/>
    <w:rsid w:val="004A7468"/>
    <w:rsid w:val="004A7D46"/>
    <w:rsid w:val="004A7F36"/>
    <w:rsid w:val="004B01AF"/>
    <w:rsid w:val="004B0B93"/>
    <w:rsid w:val="004B0D64"/>
    <w:rsid w:val="004B2589"/>
    <w:rsid w:val="004B35A4"/>
    <w:rsid w:val="004B5AB9"/>
    <w:rsid w:val="004B6BB2"/>
    <w:rsid w:val="004C0803"/>
    <w:rsid w:val="004C0E91"/>
    <w:rsid w:val="004C2846"/>
    <w:rsid w:val="004C4C8A"/>
    <w:rsid w:val="004F0C16"/>
    <w:rsid w:val="004F17B9"/>
    <w:rsid w:val="004F258D"/>
    <w:rsid w:val="005025EA"/>
    <w:rsid w:val="005108FA"/>
    <w:rsid w:val="005134B2"/>
    <w:rsid w:val="005206A7"/>
    <w:rsid w:val="005219C7"/>
    <w:rsid w:val="00526D90"/>
    <w:rsid w:val="0052741C"/>
    <w:rsid w:val="00531163"/>
    <w:rsid w:val="0053204D"/>
    <w:rsid w:val="00535C3C"/>
    <w:rsid w:val="00537A17"/>
    <w:rsid w:val="005425D1"/>
    <w:rsid w:val="00545B3D"/>
    <w:rsid w:val="00546565"/>
    <w:rsid w:val="00551154"/>
    <w:rsid w:val="00551416"/>
    <w:rsid w:val="00560337"/>
    <w:rsid w:val="005635E2"/>
    <w:rsid w:val="00567763"/>
    <w:rsid w:val="00587728"/>
    <w:rsid w:val="00587C74"/>
    <w:rsid w:val="0059212F"/>
    <w:rsid w:val="005A01AB"/>
    <w:rsid w:val="005A272C"/>
    <w:rsid w:val="005A75D2"/>
    <w:rsid w:val="005B1C28"/>
    <w:rsid w:val="005C22C0"/>
    <w:rsid w:val="005D1BFF"/>
    <w:rsid w:val="005D2340"/>
    <w:rsid w:val="005D45B3"/>
    <w:rsid w:val="005D77C7"/>
    <w:rsid w:val="005E059B"/>
    <w:rsid w:val="005E39EF"/>
    <w:rsid w:val="005E6111"/>
    <w:rsid w:val="005E7B65"/>
    <w:rsid w:val="00600406"/>
    <w:rsid w:val="0061140A"/>
    <w:rsid w:val="006162A2"/>
    <w:rsid w:val="00616C14"/>
    <w:rsid w:val="00625936"/>
    <w:rsid w:val="00626A8A"/>
    <w:rsid w:val="006338F2"/>
    <w:rsid w:val="00634426"/>
    <w:rsid w:val="0063539F"/>
    <w:rsid w:val="0063736B"/>
    <w:rsid w:val="00637F28"/>
    <w:rsid w:val="00637FE4"/>
    <w:rsid w:val="00650981"/>
    <w:rsid w:val="00652220"/>
    <w:rsid w:val="00652DD2"/>
    <w:rsid w:val="00656940"/>
    <w:rsid w:val="00660558"/>
    <w:rsid w:val="00664DD3"/>
    <w:rsid w:val="0066530E"/>
    <w:rsid w:val="006675D7"/>
    <w:rsid w:val="006678AD"/>
    <w:rsid w:val="00675792"/>
    <w:rsid w:val="006758EA"/>
    <w:rsid w:val="00677B2B"/>
    <w:rsid w:val="00680CE0"/>
    <w:rsid w:val="00682660"/>
    <w:rsid w:val="006845C1"/>
    <w:rsid w:val="00685802"/>
    <w:rsid w:val="006864C1"/>
    <w:rsid w:val="006935F5"/>
    <w:rsid w:val="0069735A"/>
    <w:rsid w:val="006976E8"/>
    <w:rsid w:val="006B3E9E"/>
    <w:rsid w:val="006B540C"/>
    <w:rsid w:val="006C3524"/>
    <w:rsid w:val="006C3B39"/>
    <w:rsid w:val="006C4579"/>
    <w:rsid w:val="006C728E"/>
    <w:rsid w:val="006D07DA"/>
    <w:rsid w:val="006F3296"/>
    <w:rsid w:val="006F4A39"/>
    <w:rsid w:val="00702E96"/>
    <w:rsid w:val="00703059"/>
    <w:rsid w:val="00703FF3"/>
    <w:rsid w:val="0071355F"/>
    <w:rsid w:val="00715CF6"/>
    <w:rsid w:val="00722462"/>
    <w:rsid w:val="00731BB9"/>
    <w:rsid w:val="00736BBC"/>
    <w:rsid w:val="00737032"/>
    <w:rsid w:val="007379EE"/>
    <w:rsid w:val="007407E2"/>
    <w:rsid w:val="0074278C"/>
    <w:rsid w:val="00742FC0"/>
    <w:rsid w:val="007520C5"/>
    <w:rsid w:val="00756372"/>
    <w:rsid w:val="007650D3"/>
    <w:rsid w:val="007841A9"/>
    <w:rsid w:val="00784430"/>
    <w:rsid w:val="00784C76"/>
    <w:rsid w:val="00790067"/>
    <w:rsid w:val="0079426D"/>
    <w:rsid w:val="007A3479"/>
    <w:rsid w:val="007A3A85"/>
    <w:rsid w:val="007A4E7D"/>
    <w:rsid w:val="007A7D1B"/>
    <w:rsid w:val="007B63ED"/>
    <w:rsid w:val="007C527D"/>
    <w:rsid w:val="007C7A26"/>
    <w:rsid w:val="007D2BA9"/>
    <w:rsid w:val="007D62EF"/>
    <w:rsid w:val="007E1EA0"/>
    <w:rsid w:val="007E4797"/>
    <w:rsid w:val="007F26A6"/>
    <w:rsid w:val="0080363E"/>
    <w:rsid w:val="008111BA"/>
    <w:rsid w:val="008128A5"/>
    <w:rsid w:val="00815E84"/>
    <w:rsid w:val="0082013E"/>
    <w:rsid w:val="00821737"/>
    <w:rsid w:val="00824CA4"/>
    <w:rsid w:val="00824DDA"/>
    <w:rsid w:val="008338D0"/>
    <w:rsid w:val="00834BC4"/>
    <w:rsid w:val="00836003"/>
    <w:rsid w:val="00836BC9"/>
    <w:rsid w:val="00836F86"/>
    <w:rsid w:val="00837F33"/>
    <w:rsid w:val="00851D70"/>
    <w:rsid w:val="00853C4D"/>
    <w:rsid w:val="00861468"/>
    <w:rsid w:val="008615DA"/>
    <w:rsid w:val="00861AC4"/>
    <w:rsid w:val="008701A0"/>
    <w:rsid w:val="00872E9D"/>
    <w:rsid w:val="00872F32"/>
    <w:rsid w:val="00873E43"/>
    <w:rsid w:val="008744C0"/>
    <w:rsid w:val="00875270"/>
    <w:rsid w:val="008772F8"/>
    <w:rsid w:val="008776FA"/>
    <w:rsid w:val="00883678"/>
    <w:rsid w:val="00885B2E"/>
    <w:rsid w:val="00885C27"/>
    <w:rsid w:val="008A42B2"/>
    <w:rsid w:val="008A78B4"/>
    <w:rsid w:val="008B53F2"/>
    <w:rsid w:val="008B54A9"/>
    <w:rsid w:val="008B6FBA"/>
    <w:rsid w:val="008C288B"/>
    <w:rsid w:val="008D2F13"/>
    <w:rsid w:val="008D7D1C"/>
    <w:rsid w:val="008E1824"/>
    <w:rsid w:val="008E4049"/>
    <w:rsid w:val="008E4AE3"/>
    <w:rsid w:val="008E5EBC"/>
    <w:rsid w:val="008F50D8"/>
    <w:rsid w:val="00912B71"/>
    <w:rsid w:val="0091609D"/>
    <w:rsid w:val="009179AA"/>
    <w:rsid w:val="00920D8B"/>
    <w:rsid w:val="009328CA"/>
    <w:rsid w:val="00934810"/>
    <w:rsid w:val="0093607E"/>
    <w:rsid w:val="00942E90"/>
    <w:rsid w:val="00943046"/>
    <w:rsid w:val="00943BF1"/>
    <w:rsid w:val="00945DD5"/>
    <w:rsid w:val="00946502"/>
    <w:rsid w:val="00952C00"/>
    <w:rsid w:val="009534A0"/>
    <w:rsid w:val="00961C7D"/>
    <w:rsid w:val="009645A9"/>
    <w:rsid w:val="00966E3F"/>
    <w:rsid w:val="009708C1"/>
    <w:rsid w:val="0097154F"/>
    <w:rsid w:val="00975BEA"/>
    <w:rsid w:val="009778F6"/>
    <w:rsid w:val="0098277B"/>
    <w:rsid w:val="00982DD4"/>
    <w:rsid w:val="009908B4"/>
    <w:rsid w:val="009A1B4F"/>
    <w:rsid w:val="009A2EE7"/>
    <w:rsid w:val="009A32DC"/>
    <w:rsid w:val="009A3B57"/>
    <w:rsid w:val="009A3E32"/>
    <w:rsid w:val="009A7016"/>
    <w:rsid w:val="009B1278"/>
    <w:rsid w:val="009B3B33"/>
    <w:rsid w:val="009B41CC"/>
    <w:rsid w:val="009C3A79"/>
    <w:rsid w:val="009E565B"/>
    <w:rsid w:val="009F1CCC"/>
    <w:rsid w:val="009F3009"/>
    <w:rsid w:val="009F546D"/>
    <w:rsid w:val="00A02ED4"/>
    <w:rsid w:val="00A04B30"/>
    <w:rsid w:val="00A04B5A"/>
    <w:rsid w:val="00A25C1D"/>
    <w:rsid w:val="00A313DD"/>
    <w:rsid w:val="00A31641"/>
    <w:rsid w:val="00A429CC"/>
    <w:rsid w:val="00A4470E"/>
    <w:rsid w:val="00A45791"/>
    <w:rsid w:val="00A52BAE"/>
    <w:rsid w:val="00A554C5"/>
    <w:rsid w:val="00A56DA8"/>
    <w:rsid w:val="00A57B80"/>
    <w:rsid w:val="00A617A1"/>
    <w:rsid w:val="00A647F5"/>
    <w:rsid w:val="00A65C7D"/>
    <w:rsid w:val="00A65C97"/>
    <w:rsid w:val="00A67207"/>
    <w:rsid w:val="00A677A8"/>
    <w:rsid w:val="00A82F70"/>
    <w:rsid w:val="00A83F4B"/>
    <w:rsid w:val="00A92894"/>
    <w:rsid w:val="00A92A99"/>
    <w:rsid w:val="00A97C03"/>
    <w:rsid w:val="00A97C4F"/>
    <w:rsid w:val="00AA059D"/>
    <w:rsid w:val="00AA1E95"/>
    <w:rsid w:val="00AA2F03"/>
    <w:rsid w:val="00AA3CA8"/>
    <w:rsid w:val="00AA6543"/>
    <w:rsid w:val="00AC3453"/>
    <w:rsid w:val="00AC62C9"/>
    <w:rsid w:val="00AD07B8"/>
    <w:rsid w:val="00AD0F87"/>
    <w:rsid w:val="00AD3D9A"/>
    <w:rsid w:val="00AD5C75"/>
    <w:rsid w:val="00AD5F35"/>
    <w:rsid w:val="00AE25FD"/>
    <w:rsid w:val="00AE4192"/>
    <w:rsid w:val="00AF3B80"/>
    <w:rsid w:val="00B007F2"/>
    <w:rsid w:val="00B0302A"/>
    <w:rsid w:val="00B0357C"/>
    <w:rsid w:val="00B1152E"/>
    <w:rsid w:val="00B1503F"/>
    <w:rsid w:val="00B21446"/>
    <w:rsid w:val="00B2790F"/>
    <w:rsid w:val="00B32B0D"/>
    <w:rsid w:val="00B411AF"/>
    <w:rsid w:val="00B4663E"/>
    <w:rsid w:val="00B61A3C"/>
    <w:rsid w:val="00B73BC9"/>
    <w:rsid w:val="00B76FDA"/>
    <w:rsid w:val="00B77905"/>
    <w:rsid w:val="00B96874"/>
    <w:rsid w:val="00BB0193"/>
    <w:rsid w:val="00BB17A4"/>
    <w:rsid w:val="00BB195A"/>
    <w:rsid w:val="00BB2E9A"/>
    <w:rsid w:val="00BB44E6"/>
    <w:rsid w:val="00BB49D1"/>
    <w:rsid w:val="00BB5B32"/>
    <w:rsid w:val="00BC35F4"/>
    <w:rsid w:val="00BC742E"/>
    <w:rsid w:val="00BD021A"/>
    <w:rsid w:val="00BD74B3"/>
    <w:rsid w:val="00BE2863"/>
    <w:rsid w:val="00BE5418"/>
    <w:rsid w:val="00BF2695"/>
    <w:rsid w:val="00BF33C5"/>
    <w:rsid w:val="00BF3A53"/>
    <w:rsid w:val="00BF734E"/>
    <w:rsid w:val="00C0030E"/>
    <w:rsid w:val="00C035B3"/>
    <w:rsid w:val="00C04615"/>
    <w:rsid w:val="00C10445"/>
    <w:rsid w:val="00C10B77"/>
    <w:rsid w:val="00C175E8"/>
    <w:rsid w:val="00C20AE4"/>
    <w:rsid w:val="00C21AF9"/>
    <w:rsid w:val="00C311EB"/>
    <w:rsid w:val="00C32176"/>
    <w:rsid w:val="00C35530"/>
    <w:rsid w:val="00C42854"/>
    <w:rsid w:val="00C43A0B"/>
    <w:rsid w:val="00C51C4C"/>
    <w:rsid w:val="00C5276A"/>
    <w:rsid w:val="00C5318C"/>
    <w:rsid w:val="00C569FD"/>
    <w:rsid w:val="00C63D58"/>
    <w:rsid w:val="00C63F23"/>
    <w:rsid w:val="00C661DD"/>
    <w:rsid w:val="00C762B9"/>
    <w:rsid w:val="00C80D61"/>
    <w:rsid w:val="00C85BBF"/>
    <w:rsid w:val="00C85D9B"/>
    <w:rsid w:val="00C93B10"/>
    <w:rsid w:val="00C93E07"/>
    <w:rsid w:val="00C963CF"/>
    <w:rsid w:val="00CA04DE"/>
    <w:rsid w:val="00CA68AD"/>
    <w:rsid w:val="00CB4A7A"/>
    <w:rsid w:val="00CC6C93"/>
    <w:rsid w:val="00CC7F22"/>
    <w:rsid w:val="00CD05A9"/>
    <w:rsid w:val="00CD0E4E"/>
    <w:rsid w:val="00CD6715"/>
    <w:rsid w:val="00CD766C"/>
    <w:rsid w:val="00CE051E"/>
    <w:rsid w:val="00CE09EB"/>
    <w:rsid w:val="00CE13A8"/>
    <w:rsid w:val="00CE2977"/>
    <w:rsid w:val="00CF47BD"/>
    <w:rsid w:val="00D03C0D"/>
    <w:rsid w:val="00D0464E"/>
    <w:rsid w:val="00D050FD"/>
    <w:rsid w:val="00D12DE2"/>
    <w:rsid w:val="00D15B4C"/>
    <w:rsid w:val="00D168CE"/>
    <w:rsid w:val="00D2091B"/>
    <w:rsid w:val="00D20CF4"/>
    <w:rsid w:val="00D225A1"/>
    <w:rsid w:val="00D34341"/>
    <w:rsid w:val="00D40070"/>
    <w:rsid w:val="00D40C69"/>
    <w:rsid w:val="00D44C73"/>
    <w:rsid w:val="00D50EB8"/>
    <w:rsid w:val="00D511E3"/>
    <w:rsid w:val="00D527EB"/>
    <w:rsid w:val="00D55C28"/>
    <w:rsid w:val="00D63819"/>
    <w:rsid w:val="00D70150"/>
    <w:rsid w:val="00D734DB"/>
    <w:rsid w:val="00D81B23"/>
    <w:rsid w:val="00D81B79"/>
    <w:rsid w:val="00D95B85"/>
    <w:rsid w:val="00D96C68"/>
    <w:rsid w:val="00DA0766"/>
    <w:rsid w:val="00DA60AB"/>
    <w:rsid w:val="00DA756A"/>
    <w:rsid w:val="00DB0479"/>
    <w:rsid w:val="00DB56FB"/>
    <w:rsid w:val="00DB79BE"/>
    <w:rsid w:val="00DC142A"/>
    <w:rsid w:val="00DC2C3F"/>
    <w:rsid w:val="00DC3F44"/>
    <w:rsid w:val="00DC615F"/>
    <w:rsid w:val="00DD2472"/>
    <w:rsid w:val="00DD54B1"/>
    <w:rsid w:val="00DD5684"/>
    <w:rsid w:val="00DF175F"/>
    <w:rsid w:val="00DF39D8"/>
    <w:rsid w:val="00E0671E"/>
    <w:rsid w:val="00E158B0"/>
    <w:rsid w:val="00E204ED"/>
    <w:rsid w:val="00E21DC6"/>
    <w:rsid w:val="00E310B3"/>
    <w:rsid w:val="00E31190"/>
    <w:rsid w:val="00E4318E"/>
    <w:rsid w:val="00E511CC"/>
    <w:rsid w:val="00E511E1"/>
    <w:rsid w:val="00E5245C"/>
    <w:rsid w:val="00E54538"/>
    <w:rsid w:val="00E57B0C"/>
    <w:rsid w:val="00E659E0"/>
    <w:rsid w:val="00E70120"/>
    <w:rsid w:val="00E74BC0"/>
    <w:rsid w:val="00EA3942"/>
    <w:rsid w:val="00EB03E1"/>
    <w:rsid w:val="00EB35E3"/>
    <w:rsid w:val="00EC0189"/>
    <w:rsid w:val="00EC11B7"/>
    <w:rsid w:val="00EC447C"/>
    <w:rsid w:val="00ED1613"/>
    <w:rsid w:val="00ED2953"/>
    <w:rsid w:val="00ED520D"/>
    <w:rsid w:val="00EF01F1"/>
    <w:rsid w:val="00EF43E2"/>
    <w:rsid w:val="00EF5CF1"/>
    <w:rsid w:val="00F00D13"/>
    <w:rsid w:val="00F01BDC"/>
    <w:rsid w:val="00F133B6"/>
    <w:rsid w:val="00F13983"/>
    <w:rsid w:val="00F17167"/>
    <w:rsid w:val="00F20021"/>
    <w:rsid w:val="00F2153D"/>
    <w:rsid w:val="00F26FC3"/>
    <w:rsid w:val="00F31D86"/>
    <w:rsid w:val="00F37DE8"/>
    <w:rsid w:val="00F423BC"/>
    <w:rsid w:val="00F42FA8"/>
    <w:rsid w:val="00F447A7"/>
    <w:rsid w:val="00F44AD8"/>
    <w:rsid w:val="00F45A7A"/>
    <w:rsid w:val="00F542F8"/>
    <w:rsid w:val="00F55F0C"/>
    <w:rsid w:val="00F5755D"/>
    <w:rsid w:val="00F664E7"/>
    <w:rsid w:val="00F669D7"/>
    <w:rsid w:val="00F71A96"/>
    <w:rsid w:val="00F72A91"/>
    <w:rsid w:val="00F74081"/>
    <w:rsid w:val="00F75ED3"/>
    <w:rsid w:val="00F91120"/>
    <w:rsid w:val="00FA59E4"/>
    <w:rsid w:val="00FB33A3"/>
    <w:rsid w:val="00FB7896"/>
    <w:rsid w:val="00FC0F37"/>
    <w:rsid w:val="00FC15F0"/>
    <w:rsid w:val="00FC2A14"/>
    <w:rsid w:val="00FC5208"/>
    <w:rsid w:val="00FC53F5"/>
    <w:rsid w:val="00FC5627"/>
    <w:rsid w:val="00FC5BCD"/>
    <w:rsid w:val="00FE01BE"/>
    <w:rsid w:val="00FE290A"/>
    <w:rsid w:val="00FE3B3F"/>
    <w:rsid w:val="00FE5318"/>
    <w:rsid w:val="00FE7111"/>
    <w:rsid w:val="00FE7D52"/>
    <w:rsid w:val="00FF413E"/>
    <w:rsid w:val="00FF48C1"/>
    <w:rsid w:val="17244561"/>
    <w:rsid w:val="446C6F50"/>
    <w:rsid w:val="446E2B66"/>
    <w:rsid w:val="63D5165C"/>
    <w:rsid w:val="7BB950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3"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eastAsia="仿宋_GB2312"/>
      <w:kern w:val="2"/>
      <w:sz w:val="32"/>
      <w:lang w:val="en-US" w:eastAsia="zh-CN" w:bidi="ar-SA"/>
    </w:rPr>
  </w:style>
  <w:style w:type="paragraph" w:styleId="3">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32"/>
    </w:rPr>
  </w:style>
  <w:style w:type="paragraph" w:styleId="4">
    <w:name w:val="heading 2"/>
    <w:basedOn w:val="1"/>
    <w:next w:val="5"/>
    <w:qFormat/>
    <w:uiPriority w:val="3"/>
    <w:pPr>
      <w:widowControl/>
      <w:spacing w:line="240" w:lineRule="auto"/>
      <w:ind w:firstLine="0" w:firstLineChars="0"/>
      <w:jc w:val="center"/>
      <w:outlineLvl w:val="1"/>
    </w:pPr>
    <w:rPr>
      <w:rFonts w:ascii="方正小标宋简体" w:hAnsi="仿宋_GB2312" w:eastAsia="方正小标宋简体" w:cs="仿宋_GB2312"/>
      <w:sz w:val="36"/>
      <w:szCs w:val="36"/>
    </w:rPr>
  </w:style>
  <w:style w:type="paragraph" w:styleId="6">
    <w:name w:val="heading 3"/>
    <w:basedOn w:val="1"/>
    <w:next w:val="5"/>
    <w:uiPriority w:val="0"/>
    <w:pPr>
      <w:keepNext/>
      <w:keepLines/>
      <w:spacing w:before="1620" w:after="400"/>
      <w:jc w:val="center"/>
      <w:outlineLvl w:val="2"/>
    </w:pPr>
    <w:rPr>
      <w:rFonts w:ascii="公文小标宋简" w:eastAsia="公文小标宋简"/>
      <w:sz w:val="44"/>
      <w:lang/>
    </w:rPr>
  </w:style>
  <w:style w:type="paragraph" w:styleId="7">
    <w:name w:val="heading 4"/>
    <w:basedOn w:val="1"/>
    <w:next w:val="5"/>
    <w:uiPriority w:val="0"/>
    <w:pPr>
      <w:keepNext/>
      <w:tabs>
        <w:tab w:val="left" w:pos="2488"/>
        <w:tab w:val="left" w:pos="4976"/>
      </w:tabs>
      <w:jc w:val="center"/>
      <w:outlineLvl w:val="3"/>
    </w:pPr>
    <w:rPr>
      <w:sz w:val="44"/>
    </w:rPr>
  </w:style>
  <w:style w:type="character" w:default="1" w:styleId="22">
    <w:name w:val="Default Paragraph Font"/>
    <w:semiHidden/>
    <w:uiPriority w:val="0"/>
  </w:style>
  <w:style w:type="table" w:default="1" w:styleId="20">
    <w:name w:val="Normal Table"/>
    <w:semiHidden/>
    <w:uiPriority w:val="0"/>
    <w:tblPr>
      <w:tblStyle w:val="20"/>
      <w:tblCellMar>
        <w:top w:w="0" w:type="dxa"/>
        <w:left w:w="108" w:type="dxa"/>
        <w:bottom w:w="0" w:type="dxa"/>
        <w:right w:w="108" w:type="dxa"/>
      </w:tblCellMar>
    </w:tblPr>
  </w:style>
  <w:style w:type="paragraph" w:styleId="2">
    <w:name w:val="macro"/>
    <w:link w:val="38"/>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622" w:firstLineChars="200"/>
    </w:pPr>
    <w:rPr>
      <w:rFonts w:ascii="Courier New" w:hAnsi="Courier New" w:cs="Courier New"/>
      <w:kern w:val="2"/>
      <w:sz w:val="24"/>
      <w:szCs w:val="24"/>
      <w:lang w:val="en-US" w:eastAsia="zh-CN" w:bidi="ar-SA"/>
    </w:rPr>
  </w:style>
  <w:style w:type="paragraph" w:styleId="5">
    <w:name w:val="Normal Indent"/>
    <w:basedOn w:val="1"/>
    <w:uiPriority w:val="0"/>
    <w:pPr>
      <w:ind w:firstLine="630"/>
    </w:pPr>
    <w:rPr>
      <w:kern w:val="0"/>
    </w:rPr>
  </w:style>
  <w:style w:type="paragraph" w:styleId="8">
    <w:name w:val="Document Map"/>
    <w:basedOn w:val="1"/>
    <w:semiHidden/>
    <w:uiPriority w:val="0"/>
    <w:pPr>
      <w:shd w:val="clear" w:color="auto" w:fill="000080"/>
    </w:pPr>
  </w:style>
  <w:style w:type="paragraph" w:styleId="9">
    <w:name w:val="Body Text"/>
    <w:basedOn w:val="1"/>
    <w:link w:val="30"/>
    <w:qFormat/>
    <w:uiPriority w:val="3"/>
    <w:pPr>
      <w:ind w:firstLine="0" w:firstLineChars="0"/>
      <w:jc w:val="left"/>
    </w:pPr>
    <w:rPr>
      <w:rFonts w:ascii="楷体_GB2312" w:eastAsia="楷体_GB2312"/>
    </w:rPr>
  </w:style>
  <w:style w:type="paragraph" w:styleId="10">
    <w:name w:val="Body Text Indent"/>
    <w:basedOn w:val="1"/>
    <w:link w:val="40"/>
    <w:uiPriority w:val="0"/>
    <w:pPr>
      <w:widowControl/>
      <w:spacing w:before="100" w:beforeAutospacing="1" w:after="100" w:afterAutospacing="1"/>
      <w:jc w:val="left"/>
    </w:pPr>
    <w:rPr>
      <w:rFonts w:ascii="宋体" w:hAnsi="宋体" w:eastAsia="宋体"/>
      <w:kern w:val="0"/>
      <w:sz w:val="24"/>
      <w:szCs w:val="24"/>
    </w:rPr>
  </w:style>
  <w:style w:type="paragraph" w:styleId="11">
    <w:name w:val="Block Text"/>
    <w:basedOn w:val="1"/>
    <w:uiPriority w:val="0"/>
    <w:pPr>
      <w:spacing w:after="120"/>
      <w:ind w:left="1440" w:leftChars="700" w:right="1440" w:rightChars="700"/>
    </w:pPr>
  </w:style>
  <w:style w:type="paragraph" w:styleId="12">
    <w:name w:val="Body Text Indent 2"/>
    <w:basedOn w:val="1"/>
    <w:link w:val="35"/>
    <w:uiPriority w:val="0"/>
    <w:pPr>
      <w:spacing w:after="120" w:line="480" w:lineRule="auto"/>
      <w:ind w:left="420" w:leftChars="200"/>
    </w:pPr>
  </w:style>
  <w:style w:type="paragraph" w:styleId="13">
    <w:name w:val="Balloon Text"/>
    <w:basedOn w:val="1"/>
    <w:semiHidden/>
    <w:uiPriority w:val="0"/>
    <w:rPr>
      <w:sz w:val="18"/>
      <w:szCs w:val="18"/>
    </w:rPr>
  </w:style>
  <w:style w:type="paragraph" w:styleId="14">
    <w:name w:val="footer"/>
    <w:basedOn w:val="1"/>
    <w:link w:val="29"/>
    <w:uiPriority w:val="0"/>
    <w:pPr>
      <w:tabs>
        <w:tab w:val="center" w:pos="4153"/>
        <w:tab w:val="right" w:pos="8306"/>
      </w:tabs>
      <w:snapToGrid w:val="0"/>
      <w:jc w:val="left"/>
    </w:pPr>
    <w:rPr>
      <w:rFonts w:eastAsia="仿宋_GB2312"/>
      <w:sz w:val="18"/>
    </w:rPr>
  </w:style>
  <w:style w:type="paragraph" w:styleId="15">
    <w:name w:val="header"/>
    <w:basedOn w:val="1"/>
    <w:uiPriority w:val="0"/>
    <w:pPr>
      <w:tabs>
        <w:tab w:val="center" w:pos="4153"/>
        <w:tab w:val="right" w:pos="8306"/>
      </w:tabs>
      <w:snapToGrid w:val="0"/>
      <w:jc w:val="center"/>
    </w:pPr>
    <w:rPr>
      <w:sz w:val="18"/>
    </w:rPr>
  </w:style>
  <w:style w:type="paragraph" w:styleId="16">
    <w:name w:val="Subtitle"/>
    <w:basedOn w:val="1"/>
    <w:next w:val="1"/>
    <w:link w:val="39"/>
    <w:uiPriority w:val="2"/>
    <w:pPr>
      <w:ind w:firstLine="0" w:firstLineChars="0"/>
    </w:pPr>
    <w:rPr>
      <w:rFonts w:ascii="仿宋_GB2312" w:hAnsi="仿宋_GB2312" w:cs="仿宋_GB2312"/>
      <w:szCs w:val="32"/>
    </w:rPr>
  </w:style>
  <w:style w:type="paragraph" w:styleId="17">
    <w:name w:val="Body Text Indent 3"/>
    <w:basedOn w:val="1"/>
    <w:link w:val="36"/>
    <w:uiPriority w:val="0"/>
    <w:pPr>
      <w:spacing w:after="120"/>
      <w:ind w:left="420" w:leftChars="200"/>
    </w:pPr>
    <w:rPr>
      <w:sz w:val="16"/>
      <w:szCs w:val="16"/>
    </w:rPr>
  </w:style>
  <w:style w:type="paragraph" w:styleId="18">
    <w:name w:val="Normal (Web)"/>
    <w:basedOn w:val="1"/>
    <w:uiPriority w:val="99"/>
    <w:pPr>
      <w:widowControl/>
      <w:spacing w:before="100" w:beforeAutospacing="1" w:after="100" w:afterAutospacing="1"/>
      <w:jc w:val="left"/>
    </w:pPr>
    <w:rPr>
      <w:rFonts w:ascii="宋体" w:hAnsi="宋体" w:eastAsia="宋体"/>
      <w:kern w:val="0"/>
      <w:sz w:val="24"/>
      <w:szCs w:val="24"/>
    </w:rPr>
  </w:style>
  <w:style w:type="paragraph" w:styleId="19">
    <w:name w:val="Title"/>
    <w:basedOn w:val="3"/>
    <w:next w:val="1"/>
    <w:link w:val="37"/>
    <w:uiPriority w:val="0"/>
    <w:pPr>
      <w:keepNext w:val="0"/>
      <w:keepLines w:val="0"/>
      <w:spacing w:line="560" w:lineRule="exact"/>
      <w:ind w:firstLine="0" w:firstLineChars="0"/>
      <w:jc w:val="center"/>
    </w:pPr>
    <w:rPr>
      <w:rFonts w:ascii="方正小标宋简体" w:hAnsi="Cambria"/>
      <w:bCs/>
      <w:color w:val="000000"/>
      <w:szCs w:val="44"/>
    </w:rPr>
  </w:style>
  <w:style w:type="table" w:styleId="21">
    <w:name w:val="Table Grid"/>
    <w:basedOn w:val="20"/>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4"/>
    <w:qFormat/>
    <w:uiPriority w:val="22"/>
    <w:rPr>
      <w:rFonts w:eastAsia="黑体"/>
      <w:bCs/>
      <w:sz w:val="32"/>
    </w:rPr>
  </w:style>
  <w:style w:type="character" w:styleId="24">
    <w:name w:val="line number"/>
    <w:basedOn w:val="22"/>
    <w:uiPriority w:val="0"/>
  </w:style>
  <w:style w:type="character" w:styleId="25">
    <w:name w:val="page number"/>
    <w:basedOn w:val="22"/>
    <w:uiPriority w:val="0"/>
    <w:rPr>
      <w:rFonts w:eastAsia="宋体"/>
      <w:sz w:val="28"/>
    </w:rPr>
  </w:style>
  <w:style w:type="character" w:styleId="26">
    <w:name w:val="Emphasis"/>
    <w:uiPriority w:val="0"/>
    <w:rPr>
      <w:rFonts w:hAnsi="华文仿宋"/>
      <w:szCs w:val="36"/>
    </w:rPr>
  </w:style>
  <w:style w:type="character" w:styleId="27">
    <w:name w:val="Hyperlink"/>
    <w:basedOn w:val="22"/>
    <w:uiPriority w:val="0"/>
    <w:rPr>
      <w:color w:val="3366CC"/>
      <w:u w:val="single"/>
    </w:rPr>
  </w:style>
  <w:style w:type="character" w:customStyle="1" w:styleId="28">
    <w:name w:val="ca-1"/>
    <w:basedOn w:val="22"/>
    <w:uiPriority w:val="0"/>
  </w:style>
  <w:style w:type="character" w:customStyle="1" w:styleId="29">
    <w:name w:val="页脚 Char"/>
    <w:basedOn w:val="22"/>
    <w:link w:val="14"/>
    <w:uiPriority w:val="0"/>
    <w:rPr>
      <w:rFonts w:eastAsia="仿宋_GB2312"/>
      <w:kern w:val="2"/>
      <w:sz w:val="18"/>
    </w:rPr>
  </w:style>
  <w:style w:type="character" w:customStyle="1" w:styleId="30">
    <w:name w:val="正文文本 Char"/>
    <w:aliases w:val="楷体GB Char"/>
    <w:basedOn w:val="22"/>
    <w:link w:val="9"/>
    <w:uiPriority w:val="3"/>
    <w:rPr>
      <w:rFonts w:ascii="楷体_GB2312" w:eastAsia="楷体_GB2312"/>
      <w:kern w:val="2"/>
      <w:sz w:val="32"/>
    </w:rPr>
  </w:style>
  <w:style w:type="character" w:customStyle="1" w:styleId="31">
    <w:name w:val="发文格式 Char"/>
    <w:basedOn w:val="32"/>
    <w:link w:val="34"/>
    <w:uiPriority w:val="0"/>
  </w:style>
  <w:style w:type="character" w:customStyle="1" w:styleId="32">
    <w:name w:val="秘密紧急 Char"/>
    <w:basedOn w:val="22"/>
    <w:link w:val="33"/>
    <w:uiPriority w:val="0"/>
    <w:rPr>
      <w:rFonts w:ascii="黑体" w:eastAsia="黑体"/>
      <w:kern w:val="2"/>
      <w:sz w:val="32"/>
    </w:rPr>
  </w:style>
  <w:style w:type="paragraph" w:customStyle="1" w:styleId="33">
    <w:name w:val="秘密紧急"/>
    <w:basedOn w:val="1"/>
    <w:link w:val="32"/>
    <w:uiPriority w:val="0"/>
    <w:pPr>
      <w:jc w:val="right"/>
    </w:pPr>
    <w:rPr>
      <w:rFonts w:ascii="黑体" w:eastAsia="黑体"/>
    </w:rPr>
  </w:style>
  <w:style w:type="paragraph" w:customStyle="1" w:styleId="34">
    <w:name w:val="发文格式"/>
    <w:basedOn w:val="33"/>
    <w:link w:val="31"/>
    <w:uiPriority w:val="0"/>
    <w:rPr>
      <w:rFonts w:ascii="方正小标宋简体" w:eastAsia="方正小标宋简体"/>
    </w:rPr>
  </w:style>
  <w:style w:type="character" w:customStyle="1" w:styleId="35">
    <w:name w:val="正文文本缩进 2 Char"/>
    <w:basedOn w:val="22"/>
    <w:link w:val="12"/>
    <w:uiPriority w:val="0"/>
    <w:rPr>
      <w:rFonts w:eastAsia="仿宋_GB2312"/>
      <w:kern w:val="2"/>
      <w:sz w:val="32"/>
    </w:rPr>
  </w:style>
  <w:style w:type="character" w:customStyle="1" w:styleId="36">
    <w:name w:val="正文文本缩进 3 Char"/>
    <w:basedOn w:val="22"/>
    <w:link w:val="17"/>
    <w:uiPriority w:val="0"/>
    <w:rPr>
      <w:rFonts w:eastAsia="仿宋_GB2312"/>
      <w:kern w:val="2"/>
      <w:sz w:val="16"/>
      <w:szCs w:val="16"/>
    </w:rPr>
  </w:style>
  <w:style w:type="character" w:customStyle="1" w:styleId="37">
    <w:name w:val="标题 Char"/>
    <w:aliases w:val="方宋2 Char"/>
    <w:basedOn w:val="22"/>
    <w:link w:val="19"/>
    <w:uiPriority w:val="0"/>
    <w:rPr>
      <w:rFonts w:ascii="方正小标宋简体" w:hAnsi="Cambria" w:eastAsia="方正小标宋简体"/>
      <w:bCs/>
      <w:color w:val="000000"/>
      <w:kern w:val="44"/>
      <w:sz w:val="44"/>
      <w:szCs w:val="44"/>
    </w:rPr>
  </w:style>
  <w:style w:type="character" w:customStyle="1" w:styleId="38">
    <w:name w:val="宏文本 Char"/>
    <w:basedOn w:val="22"/>
    <w:link w:val="2"/>
    <w:uiPriority w:val="0"/>
    <w:rPr>
      <w:rFonts w:ascii="Courier New" w:hAnsi="Courier New" w:cs="Courier New"/>
      <w:kern w:val="2"/>
      <w:sz w:val="24"/>
      <w:szCs w:val="24"/>
      <w:lang w:val="en-US" w:eastAsia="zh-CN" w:bidi="ar-SA"/>
    </w:rPr>
  </w:style>
  <w:style w:type="character" w:customStyle="1" w:styleId="39">
    <w:name w:val="副标题 Char"/>
    <w:aliases w:val="发文单位 Char"/>
    <w:basedOn w:val="22"/>
    <w:link w:val="16"/>
    <w:uiPriority w:val="2"/>
    <w:rPr>
      <w:rFonts w:ascii="仿宋_GB2312" w:hAnsi="仿宋_GB2312" w:eastAsia="仿宋_GB2312" w:cs="仿宋_GB2312"/>
      <w:kern w:val="2"/>
      <w:sz w:val="32"/>
      <w:szCs w:val="32"/>
    </w:rPr>
  </w:style>
  <w:style w:type="character" w:customStyle="1" w:styleId="40">
    <w:name w:val="正文文本缩进 Char"/>
    <w:basedOn w:val="22"/>
    <w:link w:val="10"/>
    <w:uiPriority w:val="0"/>
    <w:rPr>
      <w:rFonts w:ascii="宋体" w:hAnsi="宋体"/>
      <w:sz w:val="24"/>
      <w:szCs w:val="24"/>
    </w:rPr>
  </w:style>
  <w:style w:type="paragraph" w:customStyle="1" w:styleId="41">
    <w:name w:val="附件"/>
    <w:basedOn w:val="1"/>
    <w:qFormat/>
    <w:uiPriority w:val="3"/>
    <w:pPr>
      <w:ind w:left="1014" w:hanging="1014" w:hangingChars="326"/>
    </w:pPr>
    <w:rPr>
      <w:rFonts w:ascii="黑体" w:hAnsi="黑体" w:eastAsia="黑体"/>
      <w:szCs w:val="32"/>
    </w:rPr>
  </w:style>
  <w:style w:type="paragraph" w:customStyle="1" w:styleId="42">
    <w:name w:val="Char"/>
    <w:basedOn w:val="1"/>
    <w:uiPriority w:val="0"/>
    <w:pPr>
      <w:widowControl/>
      <w:spacing w:after="160" w:line="240" w:lineRule="exact"/>
      <w:jc w:val="left"/>
    </w:pPr>
    <w:rPr>
      <w:rFonts w:ascii="Verdana" w:hAnsi="Verdana" w:eastAsia="宋体"/>
      <w:kern w:val="0"/>
      <w:sz w:val="21"/>
      <w:lang w:eastAsia="en-US"/>
    </w:rPr>
  </w:style>
  <w:style w:type="paragraph" w:customStyle="1" w:styleId="43">
    <w:name w:val=" Char Char Char Char"/>
    <w:basedOn w:val="1"/>
    <w:uiPriority w:val="0"/>
    <w:rPr>
      <w:rFonts w:eastAsia="宋体"/>
      <w:sz w:val="21"/>
      <w:szCs w:val="24"/>
    </w:rPr>
  </w:style>
  <w:style w:type="paragraph" w:customStyle="1" w:styleId="44">
    <w:name w:val="默认段落字体 Para Char Char"/>
    <w:basedOn w:val="1"/>
    <w:uiPriority w:val="0"/>
    <w:rPr>
      <w:rFonts w:eastAsia="宋体"/>
      <w:sz w:val="21"/>
      <w:szCs w:val="24"/>
    </w:rPr>
  </w:style>
  <w:style w:type="paragraph" w:customStyle="1" w:styleId="45">
    <w:name w:val=" Char"/>
    <w:basedOn w:val="8"/>
    <w:uiPriority w:val="0"/>
  </w:style>
  <w:style w:type="paragraph" w:customStyle="1" w:styleId="46">
    <w:name w:val="黑体"/>
    <w:basedOn w:val="1"/>
    <w:uiPriority w:val="3"/>
    <w:pPr>
      <w:ind w:left="1014" w:hanging="1014" w:hangingChars="326"/>
    </w:pPr>
    <w:rPr>
      <w:rFonts w:ascii="黑体" w:hAnsi="黑体" w:eastAsia="黑体"/>
      <w:szCs w:val="32"/>
    </w:rPr>
  </w:style>
  <w:style w:type="paragraph" w:customStyle="1" w:styleId="47">
    <w:name w:val="主题词"/>
    <w:basedOn w:val="1"/>
    <w:uiPriority w:val="0"/>
    <w:pPr>
      <w:spacing w:before="74" w:after="74"/>
      <w:ind w:left="1247" w:hanging="1247"/>
    </w:pPr>
    <w:rPr>
      <w:rFonts w:eastAsia="公文小标宋简"/>
    </w:rPr>
  </w:style>
  <w:style w:type="paragraph" w:styleId="48">
    <w:name w:val="No Spacing"/>
    <w:uiPriority w:val="1"/>
    <w:pPr>
      <w:widowControl w:val="0"/>
      <w:ind w:firstLine="622" w:firstLineChars="200"/>
      <w:jc w:val="both"/>
    </w:pPr>
    <w:rPr>
      <w:rFonts w:eastAsia="仿宋_GB2312"/>
      <w:kern w:val="2"/>
      <w:sz w:val="32"/>
      <w:lang w:val="en-US" w:eastAsia="zh-CN" w:bidi="ar-SA"/>
    </w:rPr>
  </w:style>
  <w:style w:type="paragraph" w:customStyle="1" w:styleId="49">
    <w:name w:val="pa-2"/>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0">
    <w:name w:val="机关字号"/>
    <w:basedOn w:val="1"/>
    <w:uiPriority w:val="0"/>
    <w:pPr>
      <w:spacing w:line="580" w:lineRule="exact"/>
      <w:jc w:val="left"/>
    </w:pPr>
  </w:style>
  <w:style w:type="paragraph" w:customStyle="1" w:styleId="51">
    <w:name w:val="抄 送"/>
    <w:basedOn w:val="47"/>
    <w:uiPriority w:val="0"/>
    <w:pPr>
      <w:spacing w:line="580" w:lineRule="exact"/>
      <w:ind w:left="0" w:firstLine="0"/>
    </w:pPr>
    <w:rPr>
      <w:rFonts w:eastAsia="仿宋_GB2312"/>
    </w:rPr>
  </w:style>
  <w:style w:type="paragraph" w:styleId="52">
    <w:name w:val="List Paragraph"/>
    <w:basedOn w:val="1"/>
    <w:qFormat/>
    <w:uiPriority w:val="34"/>
    <w:pPr>
      <w:spacing w:line="240" w:lineRule="auto"/>
      <w:ind w:firstLine="420"/>
    </w:pPr>
    <w:rPr>
      <w:rFonts w:ascii="Calibri" w:hAnsi="Calibri" w:eastAsia="宋体"/>
      <w:sz w:val="21"/>
      <w:szCs w:val="22"/>
    </w:rPr>
  </w:style>
  <w:style w:type="paragraph" w:customStyle="1" w:styleId="53">
    <w:name w:val="文件正文"/>
    <w:basedOn w:val="16"/>
    <w:qFormat/>
    <w:uiPriority w:val="0"/>
    <w:pPr>
      <w:spacing w:line="560" w:lineRule="exact"/>
      <w:ind w:firstLine="622"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xd\Application%20Data\Microsoft\Templates\&#22269;&#26631;&#20844;&#25991;&#27169;&#26495;\B%20&#22269;&#26631;&#19978;&#3489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 国标上行</Template>
  <Company>Lenovo</Company>
  <Pages>6</Pages>
  <Words>506</Words>
  <Characters>2890</Characters>
  <Lines>24</Lines>
  <Paragraphs>6</Paragraphs>
  <TotalTime>6</TotalTime>
  <ScaleCrop>false</ScaleCrop>
  <LinksUpToDate>false</LinksUpToDate>
  <CharactersWithSpaces>3390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2019-04-12T06:58:00Z</dcterms:created>
  <dc:creator>符希栋</dc:creator>
  <cp:lastModifiedBy>夏</cp:lastModifiedBy>
  <cp:lastPrinted>2018-08-02T06:50:00Z</cp:lastPrinted>
  <dcterms:modified xsi:type="dcterms:W3CDTF">2021-09-27T04:12:09Z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filename_dp">
    <vt:lpwstr>深圳市某某某某局</vt:lpwstr>
  </property>
  <property fmtid="{D5CDD505-2E9C-101B-9397-08002B2CF9AE}" pid="3" name="UnitCode_dp">
    <vt:lpwstr>深某局字</vt:lpwstr>
  </property>
  <property fmtid="{D5CDD505-2E9C-101B-9397-08002B2CF9AE}" pid="4" name="PublishUnit_dp">
    <vt:lpwstr>深圳市某某某某局</vt:lpwstr>
  </property>
  <property fmtid="{D5CDD505-2E9C-101B-9397-08002B2CF9AE}" pid="5" name="publishfilename_b_h">
    <vt:lpwstr>2.02545454545455</vt:lpwstr>
  </property>
  <property fmtid="{D5CDD505-2E9C-101B-9397-08002B2CF9AE}" pid="6" name="title3_h">
    <vt:lpwstr>2.8575</vt:lpwstr>
  </property>
  <property fmtid="{D5CDD505-2E9C-101B-9397-08002B2CF9AE}" pid="7" name="PrintCopySEGN_dp">
    <vt:lpwstr> </vt:lpwstr>
  </property>
  <property fmtid="{D5CDD505-2E9C-101B-9397-08002B2CF9AE}" pid="8" name="PublishYear_dp">
    <vt:lpwstr>2000</vt:lpwstr>
  </property>
  <property fmtid="{D5CDD505-2E9C-101B-9397-08002B2CF9AE}" pid="9" name="PublishNo_dp">
    <vt:lpwstr>0</vt:lpwstr>
  </property>
  <property fmtid="{D5CDD505-2E9C-101B-9397-08002B2CF9AE}" pid="10" name="Text2_dp">
    <vt:lpwstr>某某某</vt:lpwstr>
  </property>
  <property fmtid="{D5CDD505-2E9C-101B-9397-08002B2CF9AE}" pid="11" name="NoteTitle_dp">
    <vt:lpwstr>录入标题</vt:lpwstr>
  </property>
  <property fmtid="{D5CDD505-2E9C-101B-9397-08002B2CF9AE}" pid="12" name="Text1_dp">
    <vt:lpwstr>ＸＸ单位：</vt:lpwstr>
  </property>
  <property fmtid="{D5CDD505-2E9C-101B-9397-08002B2CF9AE}" pid="13" name="Notekeyword_dp">
    <vt:lpwstr>录入主题词</vt:lpwstr>
  </property>
  <property fmtid="{D5CDD505-2E9C-101B-9397-08002B2CF9AE}" pid="14" name="PublisDate_dp">
    <vt:lpwstr>2000年12月28日</vt:lpwstr>
  </property>
  <property fmtid="{D5CDD505-2E9C-101B-9397-08002B2CF9AE}" pid="15" name="KSOProductBuildVer">
    <vt:lpwstr>2052-11.1.0.10700</vt:lpwstr>
  </property>
  <property fmtid="{D5CDD505-2E9C-101B-9397-08002B2CF9AE}" pid="16" name="ICV">
    <vt:lpwstr>4F7568B3C467411DBACEDBCC56B6D53D</vt:lpwstr>
  </property>
</Properties>
</file>