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rPr>
        <w:t>2021</w:t>
      </w:r>
      <w:r>
        <w:rPr>
          <w:rFonts w:hint="eastAsia"/>
          <w:sz w:val="44"/>
          <w:szCs w:val="44"/>
        </w:rPr>
        <w:t>年提案工作清单表</w:t>
      </w:r>
    </w:p>
    <w:p>
      <w:pPr>
        <w:jc w:val="left"/>
        <w:rPr>
          <w:sz w:val="24"/>
        </w:rPr>
      </w:pPr>
      <w:r>
        <w:rPr>
          <w:rFonts w:hint="eastAsia" w:ascii="宋体" w:hAnsi="宋体" w:cs="宋体"/>
          <w:kern w:val="0"/>
          <w:sz w:val="20"/>
          <w:szCs w:val="20"/>
        </w:rPr>
        <w:t>市工业和信息化局</w:t>
      </w:r>
      <w:r>
        <w:rPr>
          <w:sz w:val="24"/>
        </w:rPr>
        <w:t xml:space="preserve">                                                               </w:t>
      </w:r>
      <w:r>
        <w:rPr>
          <w:rFonts w:hint="eastAsia"/>
          <w:sz w:val="24"/>
        </w:rPr>
        <w:t>整理时间：</w:t>
      </w:r>
      <w:bookmarkStart w:id="0" w:name="OLE_LINK2"/>
      <w:bookmarkEnd w:id="0"/>
      <w:r>
        <w:rPr>
          <w:rFonts w:hint="eastAsia"/>
          <w:sz w:val="24"/>
        </w:rPr>
        <w:t>2021年12月01日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不能采纳原因及其他情况说明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20210011</w:t>
            </w:r>
          </w:p>
        </w:tc>
        <w:tc>
          <w:tcPr>
            <w:tcW w:w="2310" w:type="dxa"/>
            <w:vMerge w:val="restart"/>
          </w:tcPr>
          <w:p>
            <w:pPr/>
            <w:r>
              <w:rPr>
                <w:lang w:val="zh-CN"/>
              </w:rPr>
              <w:t>关于加快建设数字经济产业集群的提案</w:t>
            </w:r>
          </w:p>
        </w:tc>
        <w:tc>
          <w:tcPr>
            <w:tcW w:w="2310" w:type="dxa"/>
            <w:vMerge w:val="restart"/>
          </w:tcPr>
          <w:p>
            <w:pPr/>
            <w:r>
              <w:rPr>
                <w:lang w:val="zh-CN"/>
              </w:rPr>
              <w:t>王志毅</w:t>
            </w:r>
          </w:p>
        </w:tc>
        <w:tc>
          <w:tcPr>
            <w:tcW w:w="2310" w:type="dxa"/>
            <w:vMerge w:val="restart"/>
          </w:tcPr>
          <w:p>
            <w:pPr/>
            <w:r>
              <w:rPr>
                <w:lang w:val="zh-CN"/>
              </w:rPr>
              <w:t>市工业和信息化局</w:t>
            </w:r>
          </w:p>
        </w:tc>
        <w:tc>
          <w:tcPr>
            <w:tcW w:w="2310" w:type="dxa"/>
            <w:vMerge w:val="restart"/>
          </w:tcPr>
          <w:p>
            <w:pPr/>
            <w:r>
              <w:rPr>
                <w:lang w:val="zh-CN"/>
              </w:rPr>
              <w:t>龙华区人民政府,市发展和改革委员会,市规划和自然资源局</w:t>
            </w:r>
          </w:p>
        </w:tc>
        <w:tc>
          <w:tcPr>
            <w:tcW w:w="2310" w:type="dxa"/>
          </w:tcPr>
          <w:p>
            <w:pPr/>
            <w:r>
              <w:rPr>
                <w:lang w:val="zh-CN"/>
              </w:rPr>
              <w:t>1.明确龙华区“数字经济先行区”战略定位</w:t>
            </w:r>
          </w:p>
        </w:tc>
        <w:tc>
          <w:tcPr>
            <w:tcW w:w="2310" w:type="dxa"/>
          </w:tcPr>
          <w:p>
            <w:pPr/>
            <w:r>
              <w:rPr>
                <w:lang w:val="zh-CN"/>
              </w:rPr>
              <w:t>1.龙华区定位“数字经济先行区”已纳入2021年6月9日发布的《深圳市国民经济和社会发展第十四个五年规划和二〇三五年远景目标纲要》。</w:t>
            </w:r>
          </w:p>
        </w:tc>
        <w:tc>
          <w:tcPr>
            <w:tcW w:w="2310" w:type="dxa"/>
          </w:tcPr>
          <w:p>
            <w:pPr/>
          </w:p>
        </w:tc>
        <w:tc>
          <w:tcPr>
            <w:tcW w:w="2310" w:type="dxa"/>
          </w:tcPr>
          <w:p>
            <w:pPr/>
            <w:r>
              <w:rPr>
                <w:lang w:val="zh-CN"/>
              </w:rPr>
              <w:t>1.市工业和信息化局将根据市十四五规划相关内容，强化市区联动，在资源要素方面对龙华区给予支持。</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2.将梅观产业创新走廊建设纳入包括“十四五”在内的市级规划</w:t>
            </w:r>
          </w:p>
        </w:tc>
        <w:tc>
          <w:tcPr>
            <w:tcW w:w="2310" w:type="dxa"/>
          </w:tcPr>
          <w:p>
            <w:pPr/>
            <w:r>
              <w:rPr>
                <w:lang w:val="zh-CN"/>
              </w:rPr>
              <w:t>1.梅观产业创新走廊建设相关内容已列入《深圳市国民经济和社会发展第十四个五年规划和二〇三五年远景目标纲要》</w:t>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3.切实加强龙华与坂雪岗片区的产业互动及协作融合</w:t>
            </w:r>
          </w:p>
        </w:tc>
        <w:tc>
          <w:tcPr>
            <w:tcW w:w="2310" w:type="dxa"/>
          </w:tcPr>
          <w:p>
            <w:pPr/>
            <w:r>
              <w:rPr>
                <w:lang w:val="zh-CN"/>
              </w:rPr>
              <w:t>1.完成《深圳市科技创新“十四五”规划（征求意见稿）》。</w:t>
            </w:r>
          </w:p>
        </w:tc>
        <w:tc>
          <w:tcPr>
            <w:tcW w:w="2310" w:type="dxa"/>
          </w:tcPr>
          <w:p>
            <w:pPr/>
            <w:r>
              <w:rPr>
                <w:lang w:val="zh-CN"/>
              </w:rPr>
              <w:t>1.《深圳市科技创新“十四五”规划（征求意见稿）》中第六部分优化全域创新空间格局中，关于坂雪岗-观澜创新集群区，提及相关内容。</w:t>
            </w:r>
          </w:p>
        </w:tc>
        <w:tc>
          <w:tcPr>
            <w:tcW w:w="2310" w:type="dxa"/>
          </w:tcPr>
          <w:p>
            <w:pPr/>
            <w:r>
              <w:rPr>
                <w:lang w:val="zh-CN"/>
              </w:rPr>
              <w:t>1.市发展改革委将积极推动龙华区与龙岗区开展区域协调发展，支持龙华与坂雪岗片区进行产业互动和协作融合。</w:t>
            </w: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4E5336B"/>
    <w:rsid w:val="4ADF6A2B"/>
    <w:rsid w:val="4B177DEB"/>
    <w:rsid w:val="4BA1709E"/>
    <w:rsid w:val="4C8D0060"/>
    <w:rsid w:val="55544710"/>
    <w:rsid w:val="566775E1"/>
    <w:rsid w:val="593A72C1"/>
    <w:rsid w:val="65125460"/>
    <w:rsid w:val="6C407861"/>
    <w:rsid w:val="762F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0</TotalTime>
  <ScaleCrop>false</ScaleCrop>
  <LinksUpToDate>false</LinksUpToDate>
  <CharactersWithSpaces>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Super.Ni</cp:lastModifiedBy>
  <dcterms:modified xsi:type="dcterms:W3CDTF">2020-12-13T06:01:44Z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