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2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856"/>
        <w:gridCol w:w="425"/>
        <w:gridCol w:w="1134"/>
        <w:gridCol w:w="5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81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、提案第</w:t>
            </w:r>
          </w:p>
        </w:tc>
        <w:tc>
          <w:tcPr>
            <w:tcW w:w="1134" w:type="dxa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20210064</w:t>
            </w:r>
          </w:p>
        </w:tc>
        <w:tc>
          <w:tcPr>
            <w:tcW w:w="52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18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标    题：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关于加快深圳市数字经济地方性立法，促进数字经济高质量发展的提案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18" w:type="dxa"/>
            <w:gridSpan w:val="2"/>
          </w:tcPr>
          <w:p>
            <w:pPr>
              <w:tabs>
                <w:tab w:val="left" w:pos="810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提 出 人：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游忠惠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18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办理类型：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主办会办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主办单位：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会办单位：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市发展和改革委员会,市教育局,市科技创新委员会,市政务服务数据管理局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222" w:type="dxa"/>
            <w:gridSpan w:val="5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案由及需要说明的情况：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数字经济服务于实体经济，已经与各行各业深度融合，代表着经济活动新的生命力。随着高端芯片、人工智能、工业互联网、5G、区块链等技术的发展，数字经济将以更迅猛的势头深刻地改变社会的各个方面。深圳市作为电子信息、互联网产业和应用的城市，高度重视发展数字经济。2021年1月，深圳市发布了《深圳市数字经济产业创新发展实施方案（2021—2023年）》。文件指出，深圳数字经济产业发展目标是，到2023年位居全国大中城市前列，数字产业化和产业数字化水平大幅提升，成为推动深圳经济社会高质量发展的核心引擎之一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在深圳市数字经济迅猛发展的同时，数据开放共享缺乏有序规范、数据价值缺乏开发利用场景、数据管理缺乏安全保护机制等问题也日益凸显，迫切需要出台新的法律法规加以指引和规范。此外，如何建设数字经济法治体系以保护数据产权，如何以法治方式规范数据收集、使用以鼓励市场主体创新，都成为推进深圳市数字经济高质量发展进程中所要面临的问题。因此，优化制度供给、完善相关立法必须成为发展数字经济的基本保障。为促进数字经济高质量发展，加快建设现代化经济体系，提升深圳市现代化治理水平，相关提案如下：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一、制定出台符合深圳市实际的数字经济地方性法规。发展数字经济必须遵循优先发展、应用先导、数据驱动、创新支撑、包容审慎、保障安全的原则，制定出台符合我市实际的数字经济地方性法规，满足当前和未来深圳市数字经济可持续发展的迫切需求，以切实解决数字经济发展的难点、卡点问题，加快推动互联网、大数据、人工智能和实体经济深度融合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二、成立深圳市数字经济地方性法规立法顾问团。为了提高立法质量，我国设立了立法专家顾问制度。提请组织相关专业领域的专家、行业协会、有关企业共同参与，成立深圳市数字经济地方性法规立法顾问团，广泛征求各方意见，充分发挥专业人才的作用，将培育壮大数字经济作为推动实体经济高质量发展的重中之重来抓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三、建立和完善基础通用标准、关键技术标准、安全评估标准等各类数字经济标准，健全数字经济统计监测指标体系和发展综合评价体系，制定和完善数字经济核心产业统计分类目录。数字化管理机构应编制省数字经济发展规划，推进数字经济标准体系建设，建立和完善基础通用标准、关键技术标准、安全评估标准等各类数字经济标准，指导和支持有关单位采用先进的数字经济标准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四、建议编制深圳市数字基础设施发展规划，推动数字基础设施共建共享。在技术有限、适度超前、安全可靠、共建共享、避免重复、覆盖城乡、服务便捷的前提下，重点推进新一代移动通讯网建设、光纤网络优化布局和互联网络演进升级，加强高等级绿色数据中心建设和传统数据中心整合改造，推动云计算、边缘计算等多元计算协同发展，构建高效协同的数据处理体系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五、建议加强对数据资源的监督管理，建立数据安全管理制度。应加强对个人信息数据收集、存储、使用、加工、传输、提供、公开等活动的监督管理，采取相应技术措施和其他必要措施，保障数据安全。通过产业政策引导、社会资本引入、应用模式创新、强化合作交流等方式，引导企业、社会组织等单位和个人开放自有数据资源。鼓励企业、社会组织等单位和个人通过公共数据平台，对外提供各类数据服务或者数据产品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六、促进云计算、大数据、物联网、人工智能等技术与各产业深度融合，推动科技创新平台和大型科技基础设施建设。应通过规划引导、政策支持、市场主体培育等方式，促进云计算、大数据、物联网、人工智能等技术与各产业深度融合；重点推动重点实验室、技术创新中心、企业技术中心等科技创新平台和大型科技基础设施建设；鼓励提供数字产业化服务的第三方机构，为数字产业相关企业引进落地、融资增资、股改上市、平台化转型等提供服务，推动数字产业发展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七、建议推动建设产业互联网平台，促进产业数字化发展。通过政策支持、市场主体培育等方式，完善互联网平台经济支撑体系。鼓励和支持工业信息工程企业、科研机构、高等院校及其他主体提供产业数字化转型第三方服务，加强对产业数字化转型的技术支撑保障，推动产业数字化转型；鼓励互联网平台、提供产业数字化转型服务机构与中小微企业建立对接机制，针对不同行业的中小微企业需求场景提供数字化解决方案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八、督促高等院校、职业学校开设数字经济专业、课程，培养符合数字经济研究和应用型人才。高等院校、科研机构、职业学校等可通过与企业产学研合作、共建实习实训基地等方式，培养符合数字经济发展需求的相关人才；同时，应加强教育领域数字基础设施和数字校园建设，加快数字技术与教育管理、教育教学的深度融合，采取措施支持符合条件的各类主体规范发展在线教育，培育优质数字教育资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22" w:type="dxa"/>
            <w:gridSpan w:val="5"/>
          </w:tcPr>
          <w:p>
            <w:pPr>
              <w:rPr>
                <w:rFonts w:ascii="等线" w:hAnsi="等线" w:eastAsia="等线" w:cs="等线"/>
                <w:color w:val="000000"/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意见建议：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="等线" w:hAnsi="等线" w:eastAsia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建议一、制定出台符合深圳市实际的数字经济地方性法规。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补充说明：发展数字经济必须遵循优先发展、应用先导、数据驱动、创新支撑、包容审慎、保障安全的原则，制定出台符合我市实际的数字经济地方性法规，满足当前和未来深圳市数字经济可持续发展的迫切需求，以切实解决数字经济发展的难点、卡点问题，加快推动互联网、大数据、人工智能和实体经济深度融合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建议二、成立深圳市数字经济地方性法规立法顾问团。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补充说明：为了提高立法质量，我国设立了立法专家顾问制度。提请组织相关专业领域的专家、行业协会、有关企业共同参与，成立深圳市数字经济地方性法规立法顾问团，广泛征求各方意见，充分发挥专业人才的作用，将培育壮大数字经济作为推动实体经济高质量发展的重中之重来抓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建议三、建立和完善基础通用标准、关键技术标准、安全评估标准等各类数字经济标准，健全数字经济统计监测指标体系和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补充说明：数字化管理机构应编制省数字经济发展规划，推进数字经济标准体系建设，建立和完善基础通用标准、关键技术标准、安全评估标准等各类数字经济标准，指导和支持有关单位采用先进的数字经济标准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建议四、建议编制深圳市数字基础设施发展规划，推动数字基础设施共建共享。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补充说明：在技术有限、适度超前、安全可靠、共建共享、避免重复、覆盖城乡、服务便捷的前提下，重点推进新一代移动通讯网建设、光纤网络优化布局和互联网络演进升级，加强高等级绿色数据中心建设和传统数据中心整合改造，推动云计算、边缘计算等多元计算协同发展，构建高效协同的数据处理体系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建议五、建议加强对数据资源的监督管理，建立数据安全管理制度。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补充说明：应加强对个人信息数据收集、存储、使用、加工、传输、提供、公开等活动的监督管理，采取相应技术措施和其他必要措施，保障数据安全。通过产业政策引导、社会资本引入、应用模式创新、强化合作交流等方式，引导企业、社会组织等单位和个人开放自有数据资源。鼓励企业、社会组织等单位和个人通过公共数据平台，对外提供各类数据服务或者数据产品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建议六、促进云计算、大数据、物联网、人工智能等技术与各产业深度融合，推动科技创新平台和大型科技基础设施建设。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补充说明：应通过规划引导、政策支持、市场主体培育等方式，促进云计算、大数据、物联网、人工智能等技术与各产业深度融合；重点推动重点实验室、技术创新中心、企业技术中心等科技创新平台和大型科技基础设施建设；鼓励提供数字产业化服务的第三方机构，为数字产业相关企业引进落地、融资增资、股改上市、平台化转型等提供服务，推动数字产业发展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建议七、建议推动建设产业互联网平台，促进产业数字化发展。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补充说明：通过政策支持、市场主体培育等方式，完善互联网平台经济支撑体系。鼓励和支持工业信息工程企业、科研机构、高等院校及其他主体提供产业数字化转型第三方服务，加强对产业数字化转型的技术支撑保障，推动产业数字化转型；鼓励互联网平台、提供产业数字化转型服务机构与中小微企业建立对接机制，针对不同行业的中小微企业需求场景提供数字化解决方案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建议八、督促高等院校、职业学校开设数字经济专业、课程，培养符合数字经济研究和应用型人才。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补充说明：高等院校、科研机构、职业学校等可通过与企业产学研合作、共建实习实训基地等方式，培养符合数字经济发展需求的相关人才；同时，应加强教育领域数字基础设施和数字校园建设，加快数字技术与教育管理、教育教学的深度融合，采取措施支持符合条件的各类主体规范发展在线教育，培育优质数字教育资源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  <w:p>
      <w:pPr>
        <w:sectPr/>
      </w:pPr>
    </w:p>
    <w:tbl>
      <w:tblPr>
        <w:tblStyle w:val="TableGrid"/>
        <w:tblW w:w="82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856"/>
        <w:gridCol w:w="425"/>
        <w:gridCol w:w="1134"/>
        <w:gridCol w:w="5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281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eastAsia="华文仿宋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提案</w:t>
            </w: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第</w:t>
            </w:r>
          </w:p>
        </w:tc>
        <w:tc>
          <w:tcPr>
            <w:tcW w:w="1134" w:type="dxa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20151003</w:t>
            </w:r>
          </w:p>
        </w:tc>
        <w:tc>
          <w:tcPr>
            <w:tcW w:w="52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18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标    题：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18" w:type="dxa"/>
            <w:gridSpan w:val="2"/>
          </w:tcPr>
          <w:p>
            <w:pPr>
              <w:tabs>
                <w:tab w:val="left" w:pos="810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提 出 人：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18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办理类型：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主办单位：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会办单位：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222" w:type="dxa"/>
            <w:gridSpan w:val="5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案由及需要说明的情况：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22" w:type="dxa"/>
            <w:gridSpan w:val="5"/>
          </w:tcPr>
          <w:p>
            <w:pPr>
              <w:rPr>
                <w:rFonts w:ascii="等线" w:hAnsi="等线" w:eastAsia="等线" w:cs="等线"/>
                <w:color w:val="000000"/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意见建议：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="等线" w:hAnsi="等线" w:eastAsia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</w:tbl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863567"/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E6"/>
    <w:rsid w:val="00042432"/>
    <w:rsid w:val="000D41E6"/>
    <w:rsid w:val="001114EC"/>
    <w:rsid w:val="00147BCA"/>
    <w:rsid w:val="00166A4D"/>
    <w:rsid w:val="001A0FF8"/>
    <w:rsid w:val="001C3C90"/>
    <w:rsid w:val="002031D5"/>
    <w:rsid w:val="00227F39"/>
    <w:rsid w:val="00236E41"/>
    <w:rsid w:val="00260F67"/>
    <w:rsid w:val="002914C5"/>
    <w:rsid w:val="002C0D47"/>
    <w:rsid w:val="00310FF0"/>
    <w:rsid w:val="00334546"/>
    <w:rsid w:val="003911DC"/>
    <w:rsid w:val="003A2443"/>
    <w:rsid w:val="003D7F99"/>
    <w:rsid w:val="0044291E"/>
    <w:rsid w:val="004C0288"/>
    <w:rsid w:val="004C293B"/>
    <w:rsid w:val="004C7B0D"/>
    <w:rsid w:val="004E154D"/>
    <w:rsid w:val="004E6A0C"/>
    <w:rsid w:val="004F68A2"/>
    <w:rsid w:val="005B6100"/>
    <w:rsid w:val="00602884"/>
    <w:rsid w:val="00673758"/>
    <w:rsid w:val="006A7092"/>
    <w:rsid w:val="00732C1E"/>
    <w:rsid w:val="00793158"/>
    <w:rsid w:val="00797A98"/>
    <w:rsid w:val="007E338C"/>
    <w:rsid w:val="008144F1"/>
    <w:rsid w:val="0083551E"/>
    <w:rsid w:val="008D308A"/>
    <w:rsid w:val="008E4222"/>
    <w:rsid w:val="008F421A"/>
    <w:rsid w:val="0092585E"/>
    <w:rsid w:val="00935CC5"/>
    <w:rsid w:val="00941347"/>
    <w:rsid w:val="00967712"/>
    <w:rsid w:val="00994498"/>
    <w:rsid w:val="009C485E"/>
    <w:rsid w:val="009E2147"/>
    <w:rsid w:val="00A34BBB"/>
    <w:rsid w:val="00A82B87"/>
    <w:rsid w:val="00A9009C"/>
    <w:rsid w:val="00AD0C0A"/>
    <w:rsid w:val="00AD26F5"/>
    <w:rsid w:val="00AD367B"/>
    <w:rsid w:val="00B21855"/>
    <w:rsid w:val="00B27728"/>
    <w:rsid w:val="00B30441"/>
    <w:rsid w:val="00B447A8"/>
    <w:rsid w:val="00B61CC8"/>
    <w:rsid w:val="00B6488E"/>
    <w:rsid w:val="00BA05D7"/>
    <w:rsid w:val="00BA78B0"/>
    <w:rsid w:val="00C249E2"/>
    <w:rsid w:val="00C542F7"/>
    <w:rsid w:val="00C6715C"/>
    <w:rsid w:val="00C74D4D"/>
    <w:rsid w:val="00CB7179"/>
    <w:rsid w:val="00D30A2D"/>
    <w:rsid w:val="00D604D5"/>
    <w:rsid w:val="00D82E5F"/>
    <w:rsid w:val="00D922D5"/>
    <w:rsid w:val="00DB7E1D"/>
    <w:rsid w:val="00E63E06"/>
    <w:rsid w:val="00F0289C"/>
    <w:rsid w:val="00F336A0"/>
    <w:rsid w:val="00F50B82"/>
    <w:rsid w:val="00F87CE5"/>
    <w:rsid w:val="00FE6055"/>
    <w:rsid w:val="134F76DA"/>
    <w:rsid w:val="13F803AD"/>
    <w:rsid w:val="169D5372"/>
    <w:rsid w:val="2192492D"/>
    <w:rsid w:val="2E59180F"/>
    <w:rsid w:val="373B464F"/>
    <w:rsid w:val="3F5E17DA"/>
    <w:rsid w:val="44360900"/>
    <w:rsid w:val="514C5B9B"/>
    <w:rsid w:val="54992EC7"/>
    <w:rsid w:val="58FB2054"/>
    <w:rsid w:val="5EA62400"/>
    <w:rsid w:val="6ADA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Light Shading Accent 2"/>
    <w:qFormat/>
    <w:uiPriority w:val="60"/>
    <w:rPr>
      <w:color w:val="C55A11" w:themeColor="accent2" w:themeShade="BF"/>
    </w:rPr>
    <w:tblPr>
      <w:tblBorders>
        <w:top w:val="single" w:color="ED7D31" w:themeColor="accent2" w:sz="8" w:space="0"/>
        <w:bottom w:val="single" w:color="ED7D31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字符"/>
    <w:basedOn w:val="10"/>
    <w:link w:val="3"/>
    <w:semiHidden/>
    <w:qFormat/>
    <w:uiPriority w:val="99"/>
    <w:rPr>
      <w:sz w:val="18"/>
      <w:szCs w:val="18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unnamedxuan</Company>
  <Pages>1</Pages>
  <Words>14</Words>
  <Characters>81</Characters>
  <Lines>1</Lines>
  <Paragraphs>1</Paragraphs>
  <TotalTime>18</TotalTime>
  <ScaleCrop>false</ScaleCrop>
  <LinksUpToDate>false</LinksUpToDate>
  <CharactersWithSpaces>94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2014-03-05T06:43:00Z</dcterms:created>
  <dc:creator>unnamedxuan@qq.com</dc:creator>
  <cp:lastModifiedBy>三思而行丶 </cp:lastModifiedBy>
  <dcterms:modified xsi:type="dcterms:W3CDTF">2021-05-13T06:32:10Z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22EB438B6E71432982BA343865294FE5</vt:lpwstr>
  </property>
</Properties>
</file>