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2021年12月01日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20210119</w:t>
            </w:r>
          </w:p>
        </w:tc>
        <w:tc>
          <w:tcPr>
            <w:tcW w:w="2310" w:type="dxa"/>
            <w:vMerge w:val="restart"/>
          </w:tcPr>
          <w:p>
            <w:pPr/>
            <w:r>
              <w:rPr>
                <w:lang w:val="zh-CN"/>
              </w:rPr>
              <w:t>关于强化金融支持中小微企业发展创新的建议</w:t>
            </w:r>
          </w:p>
        </w:tc>
        <w:tc>
          <w:tcPr>
            <w:tcW w:w="2310" w:type="dxa"/>
            <w:vMerge w:val="restart"/>
          </w:tcPr>
          <w:p>
            <w:pPr/>
            <w:r>
              <w:rPr>
                <w:lang w:val="zh-CN"/>
              </w:rPr>
              <w:t>许宜群</w:t>
            </w:r>
          </w:p>
        </w:tc>
        <w:tc>
          <w:tcPr>
            <w:tcW w:w="2310" w:type="dxa"/>
            <w:vMerge w:val="restart"/>
          </w:tcPr>
          <w:p>
            <w:pPr/>
            <w:r>
              <w:rPr>
                <w:lang w:val="zh-CN"/>
              </w:rPr>
              <w:t>市工业和信息化局</w:t>
            </w:r>
          </w:p>
        </w:tc>
        <w:tc>
          <w:tcPr>
            <w:tcW w:w="2310" w:type="dxa"/>
            <w:vMerge w:val="restart"/>
          </w:tcPr>
          <w:p>
            <w:pPr/>
            <w:r>
              <w:rPr>
                <w:lang w:val="zh-CN"/>
              </w:rPr>
              <w:t>市地方金融监督管理局,人民银行深圳市中心支行,深圳银保监局,市国有资产监督管理委员会</w:t>
            </w:r>
          </w:p>
        </w:tc>
        <w:tc>
          <w:tcPr>
            <w:tcW w:w="2310" w:type="dxa"/>
          </w:tcPr>
          <w:p>
            <w:pPr/>
            <w:r>
              <w:rPr>
                <w:lang w:val="zh-CN"/>
              </w:rPr>
              <w:t>1.按照行业性质和经营状况对企业分类指导，精准施策。</w:t>
            </w:r>
          </w:p>
        </w:tc>
        <w:tc>
          <w:tcPr>
            <w:tcW w:w="2310" w:type="dxa"/>
          </w:tcPr>
          <w:p>
            <w:pPr/>
            <w:r>
              <w:rPr>
                <w:lang w:val="zh-CN"/>
              </w:rPr>
              <w:t>1.1.人行深圳市中支等4个单位联合发布《关于进一步改进小微企业金融服务的意见》。 
</w:t>
            </w:r>
            <w:r>
              <w:rPr>
                <w:lang w:val="zh-CN"/>
              </w:rPr>
              <w:br/>
            </w:r>
            <w:r>
              <w:rPr>
                <w:lang w:val="zh-CN"/>
              </w:rPr>
              <w:t>2.2.实施《关于强化中小微企业金融服务的若干措施》。
</w:t>
            </w:r>
            <w:r>
              <w:rPr>
                <w:lang w:val="zh-CN"/>
              </w:rPr>
              <w:br/>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2.健全抵押担保体制，创新多元担保方式</w:t>
            </w:r>
          </w:p>
        </w:tc>
        <w:tc>
          <w:tcPr>
            <w:tcW w:w="2310" w:type="dxa"/>
          </w:tcPr>
          <w:p>
            <w:pPr/>
            <w:r>
              <w:rPr>
                <w:lang w:val="zh-CN"/>
              </w:rPr>
              <w:t>1.1.落实普惠金融政策，2020年末，我市融资担保公司分别为660323户小微企业、1614户农户及新型农业经营主体、1168户战略性新兴产业主体提供融资担保服务，余额分别为246.20亿元、7.11亿元、89.77亿元。
</w:t>
            </w:r>
            <w:r>
              <w:rPr>
                <w:lang w:val="zh-CN"/>
              </w:rPr>
              <w:br/>
            </w:r>
            <w:r>
              <w:rPr>
                <w:lang w:val="zh-CN"/>
              </w:rPr>
              <w:t>2.2.推进政策性融资担保机构建设，构建政府性融资担保体系。全年共批设2家政府性融资担保公司，分别为深圳市融资担保基金有限责任公司、深圳市高新投小微融资担保公司。
</w:t>
            </w:r>
            <w:r>
              <w:rPr>
                <w:lang w:val="zh-CN"/>
              </w:rPr>
              <w:br/>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3.针对不同企业实施差异化的金融服务和产业服务。</w:t>
            </w:r>
          </w:p>
        </w:tc>
        <w:tc>
          <w:tcPr>
            <w:tcW w:w="2310" w:type="dxa"/>
          </w:tcPr>
          <w:p>
            <w:pPr/>
            <w:r>
              <w:rPr>
                <w:lang w:val="zh-CN"/>
              </w:rPr>
              <w:t>1.印发实施《深圳市应对新型冠状病毒感染的肺炎疫情支持企业共渡难关的若干措施》，从强化疫情防控、降低企业成本、加大融资支持、解决用工问题、加强出口服务等5大方面提出16条针对性的政策措施。</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4.加强引导国有资本直接扶持中小微企业发展的力度，破解科技型中小微企业贷款难问题。</w:t>
            </w:r>
          </w:p>
        </w:tc>
        <w:tc>
          <w:tcPr>
            <w:tcW w:w="2310" w:type="dxa"/>
          </w:tcPr>
          <w:p>
            <w:pPr/>
            <w:r>
              <w:rPr>
                <w:lang w:val="zh-CN"/>
              </w:rPr>
              <w:t>1..支持国资基金扶持中小微企业发展，打造了“深创投”“天使母基金”“人才基金”等优势品牌。2.支持市属国有担保公司服务中小微企业。市属国企高新投集团和担保集团充分发挥国有融资担保公司职责，累计服务企业家数超6.2万家次，累计提供担保服务金额超1.1万亿元。</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5.创新融资渠道，满足发展创新资金需求</w:t>
            </w:r>
          </w:p>
        </w:tc>
        <w:tc>
          <w:tcPr>
            <w:tcW w:w="2310" w:type="dxa"/>
          </w:tcPr>
          <w:p>
            <w:pPr/>
            <w:r>
              <w:rPr>
                <w:lang w:val="zh-CN"/>
              </w:rPr>
              <w:t>1.1.出台《深圳市促进创业投资行业发展的若干措施》。
</w:t>
            </w:r>
            <w:r>
              <w:rPr>
                <w:lang w:val="zh-CN"/>
              </w:rPr>
              <w:br/>
            </w:r>
            <w:r>
              <w:rPr>
                <w:lang w:val="zh-CN"/>
              </w:rPr>
              <w:t>2.2.设立1000亿规模的市政府投资引导基金。13支中小微企业发展基金总规模超220亿元，全年投资项目154个，投资金额38.2亿元；累计投资项目412个，投资总额127.1亿元。
</w:t>
            </w:r>
            <w:r>
              <w:rPr>
                <w:lang w:val="zh-CN"/>
              </w:rPr>
              <w:br/>
            </w:r>
            <w:r>
              <w:rPr>
                <w:lang w:val="zh-CN"/>
              </w:rPr>
              <w:t>3.3.开展外商投资股权投资企业（QFLP）试点和合格境内投资企业（QDIE）试点（QDIE为深圳独有的创新业务）。
</w:t>
            </w:r>
            <w:r>
              <w:rPr>
                <w:lang w:val="zh-CN"/>
              </w:rPr>
              <w:br/>
            </w:r>
            <w:r>
              <w:rPr>
                <w:lang w:val="zh-CN"/>
              </w:rPr>
              <w:t>4.4.推动市区两级政府企业发债扶持政策全覆盖，实施“千亿发债”。
</w:t>
            </w:r>
            <w:r>
              <w:rPr>
                <w:lang w:val="zh-CN"/>
              </w:rPr>
              <w:br/>
            </w:r>
          </w:p>
        </w:tc>
        <w:tc>
          <w:tcPr>
            <w:tcW w:w="2310" w:type="dxa"/>
          </w:tcPr>
          <w:p>
            <w:pPr/>
          </w:p>
        </w:tc>
        <w:tc>
          <w:tcPr>
            <w:tcW w:w="2310" w:type="dxa"/>
          </w:tcPr>
          <w:p>
            <w:pP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