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28</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20210201</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关于深圳市先进制造业中小企业创新发展提案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常远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截至2020年6月底，深圳市中小企业数量超过215万家，其中科技型中小企业超过5万家。在推进以创新引领实体经济转型升级的进程中，深圳市先进制造业中小企业整体规模不断扩大，在推动科技进步、经济增长和加快产业机构优化升级等方面扮演着重要角色。深圳市委市政府高度重视中小企业的创新发展，推出了许多支持中小企业开展技术创新的政策和措施，营造了良好的创新环境。特别是今年以来，面对新冠肺炎疫情的严重冲击,制定出台了多项政策措施帮扶中小企业，不断优化中小企业营商环境，助力中小企业高质量发展。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但是在调研过程之中，不少企业反馈从外部创新环境来看仍然存在诸多有待完善之处。第一是技术创新研发投入不足。中小企业普遍存在规模偏小、管理粗放、人才不足、技术陈旧等问题，从而导致创新资源配置短缺，创新人才引进困难。据调查显示：超过64.6%的先进制造业中小企业研发投入低于1000万；超过53%的先进制造业中小企业还没有建设企业研发创新平台；超过52.9%的先进制造业中小企业知识产权数量在30项以下。第二是高校科研成果与企业需求存在较大差距。据调查显示：89%以上的先进制造业中小企业都有校企合作需求，但实际已开展校企联合研发的企业占比不足20%，校企合作科技成果交易占比仅为23.3%。中小企业研发力量薄弱，有的中小企业，就算有自己的创新平台，但受资金、人才等因素制约，没有形成真正的创新突破。与此相对应的是，高等学校的创新却与实际需求不相符，导致大量科研成果沉淀，得不到应用，而企业又得不到需要的技术。第三是创新人才相对短缺。先进制造业中小企业由于资金不充裕，不能为人才提供有吸引力的薪金、福利、发展空间以及社会地位等，甚至很多企业自己所培养的人才也会因为技术提升待遇过低而发生流失。据调研了解，77%以上的先进制造业中小企业有引进高端人才的需求，最缺乏较高素质的综合型人才和专业人才。另外，据大部分企业反映，政府和市场的各类专业人才技能培训也远远不能满足企业创新发展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建议一、加强中小科技企业研发费用支持力度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对科研经费的投入，按照企业规模和行业性质，进行“分系列”“分赛道”管理。与此同时，降低中小企业创新研发资金申报准入门槛，正确评价中小企业创新成果以及研究开发成果的价值，在研发费用方面给予中小企业更多支持。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建议二、积极引导和支持中小企业建立技术联盟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中小企业的特点之一就是技术和资金相对薄弱，不能完全靠企业自己研究开发，需要外部技术来源支持。政府应在扶持政策的出台、科研计划的筹备、技术战略的制定等多方面为联盟提供多方位的引导与支持，并将资助对象由以企业为主优化为重点为联盟技术创新提供服务；由针对具体问题的资助优化为面向联盟的整体技术方案；大力鼓励企业进行行业内的人力资源联合，进行微创新,在细分行业及技术方面做专做透。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建议三、积极引导高校科研力量向中小企业倾斜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如果能够正确引导高校资源和民营企业、中小企业有机结合，不但可以满足企业的创新需求，也将在更大程度上推动高校实践的突破。此外，通过校企联合培训出来的专业技能人才，还可以较快的适用中小企业岗位要求，解决中小企业对专业技能人才的需求。同时，利用学校资源对职工进行继续教育，通过潜移默化的方式不断提高职工素质，提高企业竞争力，也有利于促进中小企业的可持续创新发展。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建议四、实施中小企业创新服务升级工程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通过政府购买服务的方式，选取一批有影响力、有公信力的行业或综合协会，为中小企业提供科技政策宣讲、技术支持、信息咨询、人力资源、知识产权、管理培训等方面的服务，及时解决企业创新发展中遇到的各类问题。
</w:t>
            </w:r>
            <w:r>
              <w:rPr>
                <w:rFonts w:ascii="华文仿宋" w:hAnsi="华文仿宋" w:eastAsia="华文仿宋"/>
                <w:color w:val="000000" w:themeColor="text1"/>
                <w:sz w:val="28"/>
                <w:szCs w:val="28"/>
                <w14:textFill>
                  <w14:solidFill>
                    <w14:schemeClr w14:val="tx1"/>
                  </w14:solidFill>
                </w14:textFill>
              </w:rPr>
              <w:br/>
            </w:r>
          </w:p>
        </w:tc>
      </w:tr>
    </w:tbl>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p>
      <w:pPr>
        <w:sectPr/>
      </w:pPr>
    </w:p>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99</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w:t>
            </w:r>
            <w:r>
              <w:rPr>
                <w:rFonts w:hint="eastAsia" w:ascii="Times New Roman" w:eastAsia="华文仿宋"/>
                <w:color w:val="000000" w:themeColor="text1"/>
                <w:sz w:val="32"/>
                <w:lang w:val="en-US" w:eastAsia="zh-CN"/>
                <w14:textFill>
                  <w14:solidFill>
                    <w14:schemeClr w14:val="tx1"/>
                  </w14:solidFill>
                </w14:textFill>
              </w:rPr>
              <w:t>提案</w:t>
            </w:r>
            <w:r>
              <w:rPr>
                <w:rFonts w:hint="eastAsia" w:ascii="Times New Roman" w:eastAsia="华文仿宋"/>
                <w:color w:val="000000" w:themeColor="text1"/>
                <w:sz w:val="32"/>
                <w14:textFill>
                  <w14:solidFill>
                    <w14:schemeClr w14:val="tx1"/>
                  </w14:solidFill>
                </w14:textFill>
              </w:rPr>
              <w:t>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20151003</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