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2021年12月01日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20210201</w:t>
            </w:r>
          </w:p>
        </w:tc>
        <w:tc>
          <w:tcPr>
            <w:tcW w:w="2310" w:type="dxa"/>
            <w:vMerge w:val="restart"/>
          </w:tcPr>
          <w:p>
            <w:pPr/>
            <w:r>
              <w:rPr>
                <w:lang w:val="zh-CN"/>
              </w:rPr>
              <w:t>关于深圳市先进制造业中小企业创新发展提案</w:t>
            </w:r>
          </w:p>
        </w:tc>
        <w:tc>
          <w:tcPr>
            <w:tcW w:w="2310" w:type="dxa"/>
            <w:vMerge w:val="restart"/>
          </w:tcPr>
          <w:p>
            <w:pPr/>
            <w:r>
              <w:rPr>
                <w:lang w:val="zh-CN"/>
              </w:rPr>
              <w:t>常远</w:t>
            </w:r>
          </w:p>
        </w:tc>
        <w:tc>
          <w:tcPr>
            <w:tcW w:w="2310" w:type="dxa"/>
            <w:vMerge w:val="restart"/>
          </w:tcPr>
          <w:p>
            <w:pPr/>
            <w:r>
              <w:rPr>
                <w:lang w:val="zh-CN"/>
              </w:rPr>
              <w:t>市工业和信息化局</w:t>
            </w:r>
          </w:p>
        </w:tc>
        <w:tc>
          <w:tcPr>
            <w:tcW w:w="2310" w:type="dxa"/>
            <w:vMerge w:val="restart"/>
          </w:tcPr>
          <w:p>
            <w:pPr/>
            <w:r>
              <w:rPr>
                <w:lang w:val="zh-CN"/>
              </w:rPr>
              <w:t>市科技创新委员会</w:t>
            </w:r>
          </w:p>
        </w:tc>
        <w:tc>
          <w:tcPr>
            <w:tcW w:w="2310" w:type="dxa"/>
          </w:tcPr>
          <w:p>
            <w:pPr/>
            <w:r>
              <w:rPr>
                <w:lang w:val="zh-CN"/>
              </w:rPr>
              <w:t>1.加强中小科技企业研发费用支持力度</w:t>
            </w:r>
          </w:p>
        </w:tc>
        <w:tc>
          <w:tcPr>
            <w:tcW w:w="2310" w:type="dxa"/>
          </w:tcPr>
          <w:p>
            <w:pPr/>
            <w:r>
              <w:rPr>
                <w:lang w:val="zh-CN"/>
              </w:rPr>
              <w:t>1.实施企业研发资助与高企培育资助计划。</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2.积极引导和支持中小企业建立技术联盟</w:t>
            </w:r>
          </w:p>
        </w:tc>
        <w:tc>
          <w:tcPr>
            <w:tcW w:w="2310" w:type="dxa"/>
          </w:tcPr>
          <w:p>
            <w:pPr/>
            <w:r>
              <w:rPr>
                <w:lang w:val="zh-CN"/>
              </w:rPr>
              <w:t>1.鼓励参与技术攻关重点项目鼓励中小科技型企业与龙头骨干企业合作，高等院校、科研机构参与研发提供科研支撑。目前已组织实施12批技术重点攻关项目，正式立项11批119个项目，资助总额约10.5亿元。
</w:t>
            </w:r>
            <w:r>
              <w:rPr>
                <w:lang w:val="zh-CN"/>
              </w:rPr>
              <w:br/>
            </w:r>
            <w:r>
              <w:rPr>
                <w:lang w:val="zh-CN"/>
              </w:rPr>
              <w:t>2.出台《关于推动制造业高质量发展坚定不移打造制造强市的若干措施》（深府规〔2021〕1号）。
</w:t>
            </w:r>
            <w:r>
              <w:rPr>
                <w:lang w:val="zh-CN"/>
              </w:rPr>
              <w:br/>
            </w:r>
          </w:p>
        </w:tc>
        <w:tc>
          <w:tcPr>
            <w:tcW w:w="2310" w:type="dxa"/>
          </w:tcPr>
          <w:p>
            <w:pPr/>
            <w:r>
              <w:rPr>
                <w:lang w:val="zh-CN"/>
              </w:rPr>
              <w:t>1.出台《制造业创新中心建设管理细则》对制造业创新中心的平台建设、技术研发、示范应用等项目，按不超过总投资的50%，给予最高5000万元资助。</w:t>
            </w: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3.积极引导高校科研力量向中小企业倾斜</w:t>
            </w:r>
          </w:p>
        </w:tc>
        <w:tc>
          <w:tcPr>
            <w:tcW w:w="2310" w:type="dxa"/>
          </w:tcPr>
          <w:p>
            <w:pPr/>
          </w:p>
        </w:tc>
        <w:tc>
          <w:tcPr>
            <w:tcW w:w="2310" w:type="dxa"/>
          </w:tcPr>
          <w:p>
            <w:pPr/>
            <w:r>
              <w:rPr>
                <w:lang w:val="zh-CN"/>
              </w:rPr>
              <w:t>1.联合清华大学、北京大学、中山大学等国内著名高校持续举办各类中小企业工商管理研修班。</w:t>
            </w: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4.实施中小企业创新服务升级工程</w:t>
            </w:r>
          </w:p>
        </w:tc>
        <w:tc>
          <w:tcPr>
            <w:tcW w:w="2310" w:type="dxa"/>
          </w:tcPr>
          <w:p>
            <w:pPr/>
            <w:r>
              <w:rPr>
                <w:lang w:val="zh-CN"/>
              </w:rPr>
              <w:t>1.进一步完善创新券项目，缩短创新券兑现周期，由原来的一年兑现一次提高到一年兑现多次，减轻创新券服务机构资金垫付压力。
</w:t>
            </w:r>
            <w:r>
              <w:rPr>
                <w:lang w:val="zh-CN"/>
              </w:rPr>
              <w:br/>
            </w:r>
            <w:r>
              <w:rPr>
                <w:lang w:val="zh-CN"/>
              </w:rPr>
              <w:t>2.牵头成立深圳市中小企业志愿服务总队，开展线上线下公益服务活动30多场。
</w:t>
            </w:r>
            <w:r>
              <w:rPr>
                <w:lang w:val="zh-CN"/>
              </w:rPr>
              <w:br/>
            </w:r>
          </w:p>
        </w:tc>
        <w:tc>
          <w:tcPr>
            <w:tcW w:w="2310" w:type="dxa"/>
          </w:tcPr>
          <w:p>
            <w:pPr/>
            <w:r>
              <w:rPr>
                <w:lang w:val="zh-CN"/>
              </w:rPr>
              <w:t>1.推动各区建立区级志愿服务支队和设立公益服务站。</w:t>
            </w:r>
          </w:p>
        </w:tc>
        <w:tc>
          <w:tcPr>
            <w:tcW w:w="2310" w:type="dxa"/>
          </w:tcPr>
          <w:p>
            <w:pP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