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20210611</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关于加快应急通信装备产业化发展的建议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由镭,王小斌,苏俊锋,李炜,李继朝,陈琰超,梁沪明,许建领,江南</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9</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市工业和信息化局(主办),深圳通信管理局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一、相关背景及现状：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应急通信装备升级是实现应急管理能力现代化的有效手段，对于推动应急管理事业改革创新，提高重大风险防控能力，保障人民生命财产安全具有重大意义。近年来，我市高度重视以科技信息化推动新时期应急管理工作改革创新，“智慧应急”建设现场推进会、高交会应急安全科技展等展会的成功举办得到上级部门的高度评价，以通讯自组网和卫星通信指挥车为主的应急通信保障体系建设正在稳步推进，但仍存在先进装备配置不足、产业配套薄弱等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随着新一代信息技术的迅猛发展，5G、卫星互联网等技术为应急管理能力提升带来了新契机，提升应急通信能力、加快应急通信装备产业化成为当前应急管理工作面临的紧迫任务。</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二、存在问题及主要原因：</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（一）应急通信技术及装备更新换代较慢</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卫星通信作为唯一不受自然环境影响的通信方式，在应急通信中起到不可或缺的作用，新一代卫星通信设备采用电扫相控阵技术，具备高集成、轻量化、大带宽等特点，可适用各类应急交通工具或单兵背负，有效提升偏远地区或复杂灾情下应急救援效率。</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我市卫星通信装备整体迭代速度较慢，现有应急通信手段主要以地面微波、基站通信为主，远不能满足森林防火、灾难救援、海上救助和偏远地带救援等应急通信需求；卫星通信终端设备则采用传统的抛物面天线，存在笨重、不易安装、操作复杂、带宽有限，当遇到突发事件与复杂灾情时，容易造成难以及时应对的被动局面。</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（二）卫星通信产业地面设备配套基础薄弱 </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航空航天产业为我市重点发展十大未来产业之一，卫星互联网成为新一代通信产业高地，有望成为未来经济增长的新引擎。以SpaceX、OneWeb为代表的欧美企业规划发射数万颗低轨道通信卫星以实现全球互联网覆盖，我国也已将卫星互联网列入新基建范畴。</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近年来我市在卫星设计与运营等上游领域已取得突破性进展，亚太6D卫星（又名“深圳星”）作为我国第一颗Ku/Ka体系的地球同步轨道高通量卫星发射成功，为我市机载、船载、车载等移动宽带卫星通信服务提供了良好基础。但产业链下游相关地面段的系统和终端建设缺少协同规划、统筹设计，尚未出现龙头企业引领，导致亚太6D卫星等在轨通信卫星地面配套不足，长期将难以支撑应急通信为代表的宽带卫星通信需求增长。</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（三）存在提升应急通信总体水平的迫切需求</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1.我市地处南海沿岸，绿化覆盖率达45%、森林覆盖率达47.6%，在应对海上应急救援、森林火灾应急指挥方面压力巨大，应急通信装备升级对于建立全方位覆盖、全天候运行、快速反应的现代化应急搜救保障体系具有重要意义。</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我市自然灾害多发，汛期、台风、强降水等极端恶劣天气灾害严重威胁城市安全，通过应急通信装备升级可构建灾情监测预警体系、智慧化应急指挥体系与应急管理数据库，对自然灾害防治能力的提升尤为重要。    </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（四）发挥深圳“双区驱动”先行示范作用</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建设粤港澳大湾区和中国特色社会主义先行示范区是习近平总书记亲自谋划、亲自部署、亲自推动的重大国家战略，我市应紧抓“双区驱动”建设契机，坚持对标一流、统筹谋划，加快应急通信装备升级和产业化，推动粤港澳大湾区自然灾害防治体系和防治能力现代化建设，打造中国特色社会主义先行示范区提供安全和谐的社会环境，力争建设成为全国第一批安全发展示范城市，为全国应急管理工作开新风、带好头，提供示范经验</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三、建议：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（一）全面统筹推进卫星通信产业发展，建议：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1.发挥我市通信产业基础优势，发展特色鲜明、优势突出的卫星通信地面系统与设备产业；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2.加大重点企业扶持力度，培育一批具有自主知识产权创新成果的卫星设备与用户终端制造领先企业。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（二）加快推进应急通信保障能力提升，建议：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1.推进应急通信装备新技术、新工艺、新装备应用推广，纳入应急管理工作发展规划和资产投资计划；</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2.支持针对先进应急通信装备开展应急通信场景示范，打造粤港澳大湾区领先应用示范平台；</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3.以龙头企业为主体，集合 “产学研”优势力量加快推进以相控阵技术为代表的新一代应急通信装备技术攻关；</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4.围绕应急通信装备应用需求，构建多渠道、多层次的政府、产业、协会、社会组织间互通与合作机制。</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