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20210639</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关于抢抓“双区”机遇，推进深圳市黄金珠宝产业高质量发展的建议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梁锐,张庆杰,孙喜琢,刘波,王岚,董佳,戴冯军,陈汉清,蔡建光,黄维芬,郭娟,黄迈,刘楚文,胡酃酃,刘正,姚建辉</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16</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市工业和信息化局(主办),市人力资源和社会保障局,市文化广电旅游体育局,市商务局,罗湖区人民政府,市教育局,市委组织部</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 深圳珠宝产业的现状和优势</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当前，我国经济已步入高质量发展阶段，经济增长的内需潜力不断释放，特别是在新冠疫情的背景下，内需市场的潜力和外需市场的疲软逐渐凸显，推动形成以国内大循环为主体、国内国际双循环相互促进的新发展格局成为经济发展的现实需要。“双循环”要求打通生产、分配、流通、消费各个环节，促进一切生产要素更加自由公平的流动。我国珠宝玉石原材料主要依靠进口，“双循环”对于畅通珠宝玉石交易，更好联通国内国际市场提出了更高要求。同时，珠宝玉石作为人民美好生活的重要组成部分，也是我国进一步扩大内需的有力抓手。</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黄金珠宝产业是深圳优势特色产业，水贝·布心片区的珠宝产业集聚基地是全国最大、发展水平最高、产业链条最完善的黄金珠宝集聚区之一。据统计，位于罗湖的深圳市黄金珠宝产业集聚基地法人企业约7000个，专业市场27个，从业人员7.6万人，营业收入1130.7亿元，占国内黄金珠宝批发市场份额的50%，黄金实物用量占上海黄金交易所实物交割量的70%，钻石实物用量占上海钻石交易所进口额的80%。作为深圳优势传统产业和时尚文化产业的典型代表，黄金珠宝产业承担着满足人民日益增长的美好生活需要的重任。</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二、 深圳珠宝产业面临的痛点和发展瓶颈</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1、 珠宝产业处于价值链的中低端，没有整合和掌控上下游资源。</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作为全球珠宝市场重要的生产者和需求国，产业的发展受国际原材料价格的波动影响较大，在国际贸易定价中长期处于被动的角色。目前深圳珠宝产业的产业链不健全，上游原材料与国内珠宝商交易链条脱节；缺乏产业链资源整合，未形成规模化的以资源共享、设计共享、品牌共享为一体的覆盖产业上下游的珠宝产业生态服务链。</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2、缺乏行业有效整合，没有形成合力。</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近5年来，珠宝产业发展进入平缓期，众多知名品牌销售业绩下滑，产品自主设计水平不高，产品同质化严重，打价格战，融资渠道匮乏，库存滞销普遍，“互联网+”转型难度大等。珠宝企业之间没有形成抱团出海的合力。</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3.  缺乏与国际同行交流合作的平台。</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深圳珠宝产业缺乏与国际时尚产业信息交流的桥梁和纽带，缺乏全方位的与世界级泛珠宝领域资源共享、合作共赢的服务平台。在联合国际知名机构举办活动、论坛，引进国际顶尖的理念、设计、技术、工艺，获取行业前沿资讯等方面存在较大短板。</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4、 珠宝品牌的影响力和美誉度亟待提升</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水贝是全国乃至东南亚国家的珠宝批发采购中心，但大部分珠宝生产及采购企业缺少系统的品牌规划意识，长期以来形成了“贸易型思维”模式，针对于B端用户提供产销服务，缺少“终端品牌型思维”，难以提升品牌的国际知名度和溢价空间。</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5、 缺乏珠宝文化内涵形成文旅经济</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珠宝产品本身与生俱来的文化属性，理应带有深深的中华传统文化印记，是民族文化的具象表达，可以大大提升品牌影响力，赋予珠宝产品极强的扩张性。深圳的珠宝产业缺乏珠宝元素与文化元素的有机融合，“珠宝+文化”亟待升级，整合珠宝文化资源，打造旅游目的地正当其时。</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三、 深圳市黄金珠宝产业高质量发展的建议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目前，在市区政府的大力支持下，深圳珠宝行业规模性产业转型已经取得显著成效，全行业已迈步进入“高质量发展”新阶段。但在转型的过程中，珠宝产业高质量发展还存在要素交易缺失、产业规模大而不强、品牌多而知名度低、设计创意水平不高、产品同质化等问题，急需突破体制机制障碍，先行先试，精准施策，补齐短板，推动黄金珠宝产业转型升级。为加快不足突出短板，为推动深圳黄金珠宝产业高质量发展，建议如下：</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1、建议打造全球泛珠宝时尚产业平台形成世界珠宝文化战略高地</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依托中国庞大的珠宝消费市场和深圳完善的产业链，由政府主导建立深圳珠宝产业面向全球的前沿信息资源交流与合作平台，践行珠宝文化“引进来、走出去”战略，推动全球珠宝时尚产业平台的发展，引进更多国际泛珠宝时尚领域的优质资源，如技术 、研发、设计、品牌及原料便捷进入中国市场，将深圳形成世界珠宝文化战略高地。</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发挥“一带一路”泛珠宝时尚产业平台的国际影响力，更好的凝聚国际力量，促进信息交流、采购交易。举办具有国际影响力的 “深圳国际首饰设计大赛”，对获奖作品进行巡展，举办珠宝时尚新品发布会，及时追踪时尚潮流，引领时尚新动向，成为国际性珠宝首饰时尚的风向标。举办“国际珠宝首饰学术交流研讨会”，传播珠宝前沿新动向。加大深圳珠宝区域品牌在国际上的宣传与推广力度，吸引海内外知名厂商，对中国珠宝行业的关注度，吸引更多国内国际著名品牌进驻深圳，形成全球珠宝原材料集散中心、珠宝交易数据中心、珠宝艺术设计发布中心、珠宝产业资讯交流中心，汇聚成融合与影响国际珠宝贸易的合作平台。</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2、建议加快设立深圳国际珠宝玉石交易中心</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当前，国内珠宝玉石原材料交易平台主要集中在上海。但深圳作为全国规模最大的珠宝玉石生产和交易中心却一直缺乏原材料要素交易平台。交易平台与产业集聚地分离，不利于资源的市场化配置和行业生产效率提升。目前，国家发改委有关部门已多次赴深圳市黄金珠宝产业集聚基地进行调研，拟将建立深圳国际珠宝玉石交易中心项目列入深圳放宽市场准入特别措施首批清单中。为获得更多国家部委的支持，顺利承接该事项落地实施，建议市政府明确市有关部门牵头先在市级层面设立深圳国际珠宝玉石交易中心主体，并以市政府名义向国家有关部委申请上升为国家级要素交易平台，并借助综合授权改革以及放宽市场市场准入特别措施清单的契机，承接通关便利、税收优惠以及国际拍卖等优惠政策，提升深圳珠宝产业全球资源配置能力和国际竞争力。</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3、建议制定《深圳市关于加快促进黄金珠宝优势产业高质量发展的若干措施》</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我市正在加大力度贯彻落实粤港澳大湾区、深圳先行示范区和实施综合改革试点等相关文件精神，建设高质量发展的现代化经济体系。我市黄金珠宝产业已形成了包括设计研发、生产制造、展示交易、品牌运营以及检验检测等配套在内的产业链，是构建现代产业体系的重要组成部分。建议充分挖掘黄金珠宝优势产业的发展潜力，在市级层面出台相关政策措施，在空间、资金、人才、服务等方面给予全方位支持，推进深圳珠宝全产业链高质量发展，加快构建国际一流的珠宝产业集群，提升“深圳珠宝”知名度，打造世界知名的“湾区宝都”。</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4、建议加快建设国际珠宝创意设计学院</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当前，我市正抢抓建设粤港澳大湾区和中国特色社会主义先行示范区“双区驱动”的重大历史机遇，立足成为具有世界影响力的创新创意之都的目标，大力实施创新发展战略。建议突出深圳珠宝产业优势，探索在水贝珠宝创意设计产业集群中建设新型人才培育载体，引入国际化高校和师资，创建国际珠宝创意设计学院，构建顶尖珠宝创新创意人才国际化培养模式，造就一批世界知名的珠宝大师工坊，实现水贝珠宝产业集群“创意设计”国际化、“技能工匠”国际化、“品牌战略”国际化的发展目标，推动深圳“建设具有全球影响力的创新创业创意之都”的发展战略。</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5、建议成立国际创新型珠宝产学研基地。</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依托深圳黄金珠宝产业聚集基地完善的产业链优势，打造国际创新型实验教学平台，引进国际知名专业院校及国际顶级珠宝教育机构深度合作，进行技术研究、国际课程教学、教学成果转化以及知识产权转化等。集创新孵化、文化传播于一体。全面推进自主创新、品牌化、国际化、质量型发展，与各国、各地区深化时尚科技、设计、创意、人才等领域的研究与合作，培养视野开阔、专业综合的国际型、创新型人才，促进珠宝产业升级、变“深圳制造”为“深圳创造”，不断提升创新合作水平，成为加快“现代化、国际化创新型城市”和“时尚之都”建设的重要力量</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6、建议承接具有国际影响力的珠宝时尚领域大型会议和国际活动。</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建议深圳加快对接和引进国际、国家黄金珠宝协会等组织，大力引进总部经济、专业金融、技术研发、评估鉴定、知识产权、教育培训、都市旅游等专业服务机构。将深圳打造成国内外珠宝潮流时尚元素的风向标，形成国际化的珠宝时尚文化之都。</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积极承接具有国际影响力的珠宝行业协会年会论坛及国际商务交流活动，例如世界黄金协会（WGC）、国际铂金协会(PGI)、国际彩色宝石协会（ICA）年会，让更多的国际客商了解中国及中国珠宝市场，搭建国际宝石的中国市场通道，将会员企业的优势宝石矿源引入中国，获取全球优质货源的优先看货权、提货权、定价权和国际话语权，让深圳成为国际化的珠宝产业聚集地。</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7、建议在深圳打造世界珠宝文化特色旅游的胜地</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依托“深圳水贝 世界宝都”的珠宝产业优势，建议在深圳水贝打造珠宝文化特色旅游景区，形成世界珠宝文化产业旅游的胜地。依托“一带一路”沿线珠宝原产国共建的全球最大珠宝艺术文化墙，打造高端珠宝文化IP、开发深圳知名品牌或中国知名品牌的特色文化产品；打造时尚网红直播热地，讲好世界珠宝文化故事；以先进的声光电和虚拟现实技术营造五彩缤纷的珠宝艺术互动体验场景，让中外游客身临其境的了解珠宝知识和珠宝文化；通过政府主导整合各类媒体资源，全方位发布、宣传推广深圳珠宝旅游消费地图，让水贝成为国内外游客来深打卡圣地，有效提升深圳珠宝的知名度和美誉度。</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8、建议尽快出台支持打造世界一流珠宝博物馆的工作方案</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深圳珠宝博物馆于2019年10月正式运营，定位为“一馆、一库、三中心”。自开馆以来，在黄金珠宝产业发展、文化传播和国际交流等方面发挥了独特的价值，是推动深圳黄金珠宝行业高质量发展的关键平台，已成为深圳的一张靓丽名片。建议出台市级支持工作方案，明确珠宝博物馆主体资质，加大经费支持力度，在信息化建设、产业服务、开放合作等方面支持珠宝博物馆打造成为具有国际影响力的产业发展服务平台，建成世界一流的珠宝博物馆，树立中国珠宝文化的代表和国际珠宝文化高地</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在双区驱动的大背景下，把握时代机遇，抢占市场先机，打造深圳珠宝产业生态链，大力推进深圳市黄金珠宝产业高质量发展，将罗湖水贝打造成为世界级珠宝文化产业战略高地，做为先行先试的重要实践，对于深圳建设粤港澳大湾区创新创意之都意义非凡，并且具备可行性、紧迫性和必要性。</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2021年5月12日</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8AD0527"/>
    <w:rsid w:val="0CA81750"/>
    <w:rsid w:val="104457BF"/>
    <w:rsid w:val="142D5EF2"/>
    <w:rsid w:val="1A8370F8"/>
    <w:rsid w:val="1C52129C"/>
    <w:rsid w:val="1D7E45BC"/>
    <w:rsid w:val="1E4C6E49"/>
    <w:rsid w:val="1F7774AB"/>
    <w:rsid w:val="23B47B07"/>
    <w:rsid w:val="28F64EC4"/>
    <w:rsid w:val="2A5B2BC4"/>
    <w:rsid w:val="2AC820BB"/>
    <w:rsid w:val="2DAC5DFC"/>
    <w:rsid w:val="353A69D5"/>
    <w:rsid w:val="35507787"/>
    <w:rsid w:val="36ED4BEC"/>
    <w:rsid w:val="3A1A2BE3"/>
    <w:rsid w:val="49FA03AF"/>
    <w:rsid w:val="4F955F9D"/>
    <w:rsid w:val="526966EA"/>
    <w:rsid w:val="56D80994"/>
    <w:rsid w:val="574C0B47"/>
    <w:rsid w:val="581F309E"/>
    <w:rsid w:val="5F693127"/>
    <w:rsid w:val="66135703"/>
    <w:rsid w:val="6C5816D0"/>
    <w:rsid w:val="6E9C1746"/>
    <w:rsid w:val="70F449E4"/>
    <w:rsid w:val="713C1E52"/>
    <w:rsid w:val="731474DA"/>
    <w:rsid w:val="732C1598"/>
    <w:rsid w:val="73735F79"/>
    <w:rsid w:val="79DA1477"/>
    <w:rsid w:val="7A075E2D"/>
    <w:rsid w:val="7E2F2A5C"/>
    <w:rsid w:val="7F9F3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541166959B6841688F680FB6A261768C</vt:lpwstr>
  </property>
</Properties>
</file>