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bookmarkStart w:id="0" w:name="_GoBack"/>
            <w:bookmarkEnd w:id="0"/>
            <w:r>
              <w:rPr>
                <w:rFonts w:ascii="Times New Roman" w:eastAsia="华文仿宋"/>
                <w:color w:val="000000" w:themeColor="text1"/>
                <w:sz w:val="32"/>
                <w14:textFill>
                  <w14:solidFill>
                    <w14:schemeClr w14:val="tx1"/>
                  </w14:solidFill>
                </w14:textFill>
              </w:rPr>
              <w:t>38</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20210278</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关于做大做强本土平台经济 助力双区建设的提案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王国彬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市商务局,市市场监督管理局,市工业和信息化局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平台经济是以技术创新、商业模式创新为驱动，通过资源共享、产业融合、业态创新等形成的一种新型经济模式，属于服务业的范畴。</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大型电子商务平台，龙头产业互联网平台等都属于平台经济，平台经济对聚集吸引优秀数字技术人才，推动</w:t>
            </w:r>
            <w:r>
              <w:rPr>
                <w:rFonts w:hint="eastAsia" w:ascii="华文仿宋" w:hAnsi="华文仿宋" w:eastAsia="华文仿宋"/>
                <w:color w:val="000000" w:themeColor="text1"/>
                <w:sz w:val="28"/>
                <w:szCs w:val="28"/>
                <w:lang w:eastAsia="zh-CN"/>
                <w14:textFill>
                  <w14:solidFill>
                    <w14:schemeClr w14:val="tx1"/>
                  </w14:solidFill>
                </w14:textFill>
              </w:rPr>
              <w:t>供给侧结构性改革</w:t>
            </w:r>
            <w:r>
              <w:rPr>
                <w:rFonts w:ascii="华文仿宋" w:hAnsi="华文仿宋" w:eastAsia="华文仿宋"/>
                <w:color w:val="000000" w:themeColor="text1"/>
                <w:sz w:val="28"/>
                <w:szCs w:val="28"/>
                <w14:textFill>
                  <w14:solidFill>
                    <w14:schemeClr w14:val="tx1"/>
                  </w14:solidFill>
                </w14:textFill>
              </w:rPr>
              <w:t>，带动产业链发展，拉动需求，促进消费都有深刻的价值。</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对比北京（京东美团）、上海（拼多多携程）、广州（微信）、杭州（阿里）等城市，深圳平台经济发展仍然存在一定的短板，具体表现在缺乏大型平台经济，优秀的平台运营人才，技术人才相比北京杭州更加紧缺。</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当前深圳建设先行示范区，需要更多有代表性的大型本土电子商务平台，龙头产业互联网平台，这些平台经济的培育崛起，将在推动深圳经济发展，引领大湾区创业创新上都将发挥积极的作用。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建议一、加快培育平台经济产业集群，形成平台经济高地优势。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加快平台经济与实体经济的深度融合，实现传统产业转型升级，以粤港澳大湾区本土优势领域为制高点，进一步加快构建以数字化技术为核心的产业链，提升发展质量效益和竞争力，奠定相关产业在全球范围内的领先优势和示范效应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建议二、创新监管模式，支持本土平台经济发展新业务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加大对本地电商龙头企业的支持，鼓励企业采用新模式、新技术等方式做大做强，加速培育本地电子商务平台。坚持“鼓励创新、趋利避害、规范发展、包容审慎”的发展原则，结合平台经济的特点，建立健全适应平台经济特点的监管制度，为平台经济营造良好的营商环境。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建议三、以大湾区优势建材产业为突破点，培育万亿级平台经济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粤港澳大湾区是全球最重要的建材及家具制造中心，广东省出台了《培育建筑材料产业集群行动计划（2019-2025年）》，提出到2025年，全省形成1个超万亿元的建筑材料产业集群，充分利用平台经济优势，前期由政府进行资源及政策的投入为牵引，企业作为市场主体参与，充分发挥国企和民企的各自优势，培育出超万亿的建材交易平台,推动和引领大湾区建材制造业绿色、环保、健康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建议四、把握平台经济发展新趋势，支持直播电商发展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2020年受疫情冲击，直播电商发展迅猛，其为2020年最大风口，据相关机构对直播电商市场规模预测2021年将扩大至2.0万亿元。深圳应该如何把握这个市场风口机遇，确保在直播市场三分天下有其一，其量级相当于深圳再造了一个华为、三个中兴的的规模。国家对直播电商的监管首要是具备信息网络传播视听节目许可证，才可依法合规开展直播业务，当前国家申请许可证的前提是企业必须为国有独资或国有控股单位。深圳市经济主体多以民营及外资为主，如市政府从支持平台经济发展角度向中央申请给予先行示范区政策的释权，后期加大内容的审核及监管，将会极大推动深圳平台经济和第三产业的发展。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Pr>
        <w:sectPr>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spacing w:after="0" w:line="240" w:lineRule="auto"/>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spacing w:after="0" w:line="240" w:lineRule="auto"/>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 w:val="6EAF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3</Pages>
  <Words>1253</Words>
  <Characters>1291</Characters>
  <Lines>1</Lines>
  <Paragraphs>1</Paragraphs>
  <TotalTime>18</TotalTime>
  <ScaleCrop>false</ScaleCrop>
  <LinksUpToDate>false</LinksUpToDate>
  <CharactersWithSpaces>1357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2023-02-07T08:51:02Z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22EB438B6E71432982BA343865294FE5</vt:lpwstr>
  </property>
</Properties>
</file>