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44"/>
        </w:rPr>
      </w:pPr>
      <w:r>
        <w:rPr>
          <w:rFonts w:hint="eastAsia"/>
          <w:sz w:val="44"/>
          <w:szCs w:val="44"/>
        </w:rPr>
        <w:t>深圳市政协</w:t>
      </w:r>
      <w:r>
        <w:rPr>
          <w:rFonts w:hint="eastAsia"/>
          <w:sz w:val="44"/>
          <w:szCs w:val="44"/>
        </w:rPr>
        <w:t>2021</w:t>
      </w:r>
      <w:r>
        <w:rPr>
          <w:rFonts w:hint="eastAsia"/>
          <w:sz w:val="44"/>
          <w:szCs w:val="44"/>
        </w:rPr>
        <w:t>年提案工作清单表</w:t>
      </w:r>
    </w:p>
    <w:p>
      <w:pPr>
        <w:jc w:val="left"/>
        <w:rPr>
          <w:sz w:val="24"/>
        </w:rPr>
      </w:pPr>
      <w:r>
        <w:rPr>
          <w:rFonts w:hint="eastAsia" w:ascii="宋体" w:hAnsi="宋体" w:cs="宋体"/>
          <w:kern w:val="0"/>
          <w:sz w:val="20"/>
          <w:szCs w:val="20"/>
        </w:rPr>
        <w:t>市工业和信息化局</w:t>
      </w:r>
      <w:r>
        <w:rPr>
          <w:sz w:val="24"/>
        </w:rPr>
        <w:t xml:space="preserve">                                                               </w:t>
      </w:r>
      <w:r>
        <w:rPr>
          <w:rFonts w:hint="eastAsia"/>
          <w:sz w:val="24"/>
        </w:rPr>
        <w:t>整理时间：</w:t>
      </w:r>
      <w:bookmarkStart w:id="0" w:name="OLE_LINK2"/>
      <w:bookmarkEnd w:id="0"/>
      <w:r>
        <w:rPr>
          <w:rFonts w:hint="eastAsia"/>
          <w:sz w:val="24"/>
        </w:rPr>
        <w:t>2021年12月07日</w:t>
      </w:r>
    </w:p>
    <w:tbl>
      <w:tblPr>
        <w:tblStyle w:val="4"/>
        <w:tblW w:w="133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808"/>
        <w:gridCol w:w="730"/>
        <w:gridCol w:w="749"/>
        <w:gridCol w:w="942"/>
        <w:gridCol w:w="1963"/>
        <w:gridCol w:w="2088"/>
        <w:gridCol w:w="2105"/>
        <w:gridCol w:w="2092"/>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590" w:type="dxa"/>
            <w:vMerge w:val="restart"/>
            <w:vAlign w:val="center"/>
          </w:tcPr>
          <w:p>
            <w:pPr>
              <w:jc w:val="center"/>
              <w:rPr>
                <w:rFonts w:ascii="黑体" w:hAnsi="黑体" w:eastAsia="黑体"/>
                <w:b/>
                <w:kern w:val="0"/>
                <w:szCs w:val="21"/>
              </w:rPr>
            </w:pPr>
            <w:r>
              <w:rPr>
                <w:rFonts w:hint="eastAsia" w:ascii="黑体" w:hAnsi="黑体" w:eastAsia="黑体"/>
                <w:b/>
                <w:kern w:val="0"/>
                <w:szCs w:val="21"/>
              </w:rPr>
              <w:t>案号</w:t>
            </w:r>
          </w:p>
        </w:tc>
        <w:tc>
          <w:tcPr>
            <w:tcW w:w="808" w:type="dxa"/>
            <w:vMerge w:val="restart"/>
            <w:vAlign w:val="center"/>
          </w:tcPr>
          <w:p>
            <w:pPr>
              <w:jc w:val="center"/>
              <w:rPr>
                <w:rFonts w:ascii="黑体" w:hAnsi="黑体" w:eastAsia="黑体"/>
                <w:b/>
                <w:kern w:val="0"/>
                <w:szCs w:val="21"/>
              </w:rPr>
            </w:pPr>
            <w:r>
              <w:rPr>
                <w:rFonts w:hint="eastAsia" w:ascii="黑体" w:hAnsi="黑体" w:eastAsia="黑体"/>
                <w:b/>
                <w:kern w:val="0"/>
                <w:szCs w:val="21"/>
              </w:rPr>
              <w:t>案由</w:t>
            </w:r>
          </w:p>
        </w:tc>
        <w:tc>
          <w:tcPr>
            <w:tcW w:w="730" w:type="dxa"/>
            <w:vMerge w:val="restart"/>
            <w:vAlign w:val="center"/>
          </w:tcPr>
          <w:p>
            <w:pPr>
              <w:jc w:val="center"/>
              <w:rPr>
                <w:rFonts w:ascii="黑体" w:hAnsi="黑体" w:eastAsia="黑体"/>
                <w:b/>
                <w:kern w:val="0"/>
                <w:szCs w:val="21"/>
              </w:rPr>
            </w:pPr>
            <w:r>
              <w:rPr>
                <w:rFonts w:hint="eastAsia" w:ascii="黑体" w:hAnsi="黑体" w:eastAsia="黑体"/>
                <w:b/>
                <w:kern w:val="0"/>
                <w:szCs w:val="21"/>
              </w:rPr>
              <w:t>第一提案人</w:t>
            </w:r>
          </w:p>
        </w:tc>
        <w:tc>
          <w:tcPr>
            <w:tcW w:w="1691" w:type="dxa"/>
            <w:gridSpan w:val="2"/>
            <w:vAlign w:val="center"/>
          </w:tcPr>
          <w:p>
            <w:pPr>
              <w:jc w:val="center"/>
              <w:rPr>
                <w:rFonts w:ascii="黑体" w:hAnsi="黑体" w:eastAsia="黑体"/>
                <w:b/>
                <w:kern w:val="0"/>
                <w:szCs w:val="21"/>
              </w:rPr>
            </w:pPr>
            <w:r>
              <w:rPr>
                <w:rFonts w:hint="eastAsia" w:ascii="黑体" w:hAnsi="黑体" w:eastAsia="黑体"/>
                <w:b/>
                <w:kern w:val="0"/>
                <w:szCs w:val="21"/>
              </w:rPr>
              <w:t>办理单位</w:t>
            </w:r>
          </w:p>
        </w:tc>
        <w:tc>
          <w:tcPr>
            <w:tcW w:w="1963" w:type="dxa"/>
            <w:vMerge w:val="restart"/>
            <w:vAlign w:val="center"/>
          </w:tcPr>
          <w:p>
            <w:pPr>
              <w:jc w:val="center"/>
              <w:rPr>
                <w:rFonts w:ascii="黑体" w:hAnsi="黑体" w:eastAsia="黑体"/>
                <w:b/>
                <w:kern w:val="0"/>
                <w:szCs w:val="21"/>
              </w:rPr>
            </w:pPr>
            <w:r>
              <w:rPr>
                <w:rFonts w:hint="eastAsia" w:ascii="黑体" w:hAnsi="黑体" w:eastAsia="黑体"/>
                <w:b/>
                <w:kern w:val="0"/>
                <w:szCs w:val="21"/>
              </w:rPr>
              <w:t>提案意见建议</w:t>
            </w:r>
          </w:p>
        </w:tc>
        <w:tc>
          <w:tcPr>
            <w:tcW w:w="2088" w:type="dxa"/>
            <w:vMerge w:val="restart"/>
            <w:vAlign w:val="center"/>
          </w:tcPr>
          <w:p>
            <w:pPr>
              <w:jc w:val="center"/>
              <w:rPr>
                <w:rFonts w:ascii="黑体" w:hAnsi="黑体" w:eastAsia="黑体"/>
                <w:b/>
                <w:kern w:val="0"/>
                <w:szCs w:val="21"/>
              </w:rPr>
            </w:pPr>
            <w:r>
              <w:rPr>
                <w:rFonts w:hint="eastAsia" w:ascii="黑体" w:hAnsi="黑体" w:eastAsia="黑体"/>
                <w:b/>
                <w:kern w:val="0"/>
                <w:szCs w:val="21"/>
              </w:rPr>
              <w:t>当年完成事项</w:t>
            </w:r>
          </w:p>
        </w:tc>
        <w:tc>
          <w:tcPr>
            <w:tcW w:w="2105" w:type="dxa"/>
            <w:vMerge w:val="restart"/>
            <w:vAlign w:val="center"/>
          </w:tcPr>
          <w:p>
            <w:pPr>
              <w:jc w:val="center"/>
              <w:rPr>
                <w:rFonts w:ascii="黑体" w:hAnsi="黑体" w:eastAsia="黑体"/>
                <w:b/>
                <w:kern w:val="0"/>
                <w:szCs w:val="21"/>
              </w:rPr>
            </w:pPr>
            <w:r>
              <w:rPr>
                <w:rFonts w:hint="eastAsia" w:ascii="黑体" w:hAnsi="黑体" w:eastAsia="黑体"/>
                <w:b/>
                <w:kern w:val="0"/>
                <w:szCs w:val="21"/>
              </w:rPr>
              <w:t>当年推动工作</w:t>
            </w:r>
          </w:p>
        </w:tc>
        <w:tc>
          <w:tcPr>
            <w:tcW w:w="2092" w:type="dxa"/>
            <w:vMerge w:val="restart"/>
            <w:vAlign w:val="center"/>
          </w:tcPr>
          <w:p>
            <w:pPr>
              <w:jc w:val="center"/>
              <w:rPr>
                <w:rFonts w:ascii="黑体" w:hAnsi="黑体" w:eastAsia="黑体"/>
                <w:b/>
                <w:kern w:val="0"/>
                <w:szCs w:val="21"/>
              </w:rPr>
            </w:pPr>
            <w:r>
              <w:rPr>
                <w:rFonts w:hint="eastAsia" w:ascii="黑体" w:hAnsi="黑体" w:eastAsia="黑体"/>
                <w:b/>
                <w:kern w:val="0"/>
                <w:szCs w:val="21"/>
              </w:rPr>
              <w:t>明年待落实事项</w:t>
            </w:r>
          </w:p>
        </w:tc>
        <w:tc>
          <w:tcPr>
            <w:tcW w:w="1301" w:type="dxa"/>
            <w:vMerge w:val="restart"/>
            <w:vAlign w:val="center"/>
          </w:tcPr>
          <w:p>
            <w:pPr>
              <w:jc w:val="center"/>
              <w:rPr>
                <w:rFonts w:ascii="黑体" w:hAnsi="黑体" w:eastAsia="黑体"/>
                <w:b/>
                <w:kern w:val="0"/>
                <w:szCs w:val="21"/>
              </w:rPr>
            </w:pPr>
            <w:r>
              <w:rPr>
                <w:rFonts w:hint="eastAsia" w:ascii="黑体" w:hAnsi="黑体" w:eastAsia="黑体"/>
                <w:b/>
                <w:kern w:val="0"/>
                <w:szCs w:val="21"/>
              </w:rPr>
              <w:t>不能采纳原因及其他情况说明</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590" w:type="dxa"/>
            <w:vMerge w:val="continue"/>
            <w:vAlign w:val="center"/>
          </w:tcPr>
          <w:p>
            <w:pPr>
              <w:jc w:val="center"/>
              <w:rPr>
                <w:rFonts w:ascii="黑体" w:hAnsi="黑体" w:eastAsia="黑体"/>
                <w:kern w:val="0"/>
                <w:szCs w:val="21"/>
              </w:rPr>
            </w:pPr>
          </w:p>
        </w:tc>
        <w:tc>
          <w:tcPr>
            <w:tcW w:w="808" w:type="dxa"/>
            <w:vMerge w:val="continue"/>
            <w:vAlign w:val="center"/>
          </w:tcPr>
          <w:p>
            <w:pPr>
              <w:rPr>
                <w:rFonts w:ascii="黑体" w:hAnsi="黑体" w:eastAsia="黑体"/>
                <w:kern w:val="0"/>
                <w:szCs w:val="21"/>
              </w:rPr>
            </w:pPr>
          </w:p>
        </w:tc>
        <w:tc>
          <w:tcPr>
            <w:tcW w:w="730" w:type="dxa"/>
            <w:vMerge w:val="continue"/>
            <w:vAlign w:val="center"/>
          </w:tcPr>
          <w:p>
            <w:pPr>
              <w:rPr>
                <w:rFonts w:ascii="黑体" w:hAnsi="黑体" w:eastAsia="黑体"/>
                <w:kern w:val="0"/>
                <w:szCs w:val="21"/>
              </w:rPr>
            </w:pPr>
          </w:p>
        </w:tc>
        <w:tc>
          <w:tcPr>
            <w:tcW w:w="749" w:type="dxa"/>
            <w:vAlign w:val="center"/>
          </w:tcPr>
          <w:p>
            <w:pPr>
              <w:jc w:val="center"/>
              <w:rPr>
                <w:rFonts w:ascii="黑体" w:hAnsi="黑体" w:eastAsia="黑体"/>
                <w:b/>
                <w:kern w:val="0"/>
                <w:szCs w:val="21"/>
              </w:rPr>
            </w:pPr>
            <w:r>
              <w:rPr>
                <w:rFonts w:hint="eastAsia" w:ascii="黑体" w:hAnsi="黑体" w:eastAsia="黑体"/>
                <w:b/>
                <w:kern w:val="0"/>
                <w:szCs w:val="21"/>
              </w:rPr>
              <w:t>承办</w:t>
            </w:r>
          </w:p>
          <w:p>
            <w:pPr>
              <w:jc w:val="center"/>
              <w:rPr>
                <w:rFonts w:ascii="黑体" w:hAnsi="黑体" w:eastAsia="黑体"/>
                <w:b/>
                <w:kern w:val="0"/>
                <w:szCs w:val="21"/>
              </w:rPr>
            </w:pPr>
            <w:r>
              <w:rPr>
                <w:rFonts w:hint="eastAsia" w:ascii="黑体" w:hAnsi="黑体" w:eastAsia="黑体"/>
                <w:b/>
                <w:kern w:val="0"/>
                <w:szCs w:val="21"/>
              </w:rPr>
              <w:t>（主办）</w:t>
            </w:r>
          </w:p>
        </w:tc>
        <w:tc>
          <w:tcPr>
            <w:tcW w:w="942" w:type="dxa"/>
            <w:vAlign w:val="center"/>
          </w:tcPr>
          <w:p>
            <w:pPr>
              <w:jc w:val="center"/>
              <w:rPr>
                <w:rFonts w:ascii="黑体" w:hAnsi="黑体" w:eastAsia="黑体"/>
                <w:b/>
                <w:kern w:val="0"/>
                <w:szCs w:val="21"/>
              </w:rPr>
            </w:pPr>
            <w:r>
              <w:rPr>
                <w:rFonts w:hint="eastAsia" w:ascii="黑体" w:hAnsi="黑体" w:eastAsia="黑体"/>
                <w:b/>
                <w:kern w:val="0"/>
                <w:szCs w:val="21"/>
              </w:rPr>
              <w:t>分办</w:t>
            </w:r>
          </w:p>
          <w:p>
            <w:pPr>
              <w:jc w:val="center"/>
              <w:rPr>
                <w:rFonts w:ascii="黑体" w:hAnsi="黑体" w:eastAsia="黑体"/>
                <w:b/>
                <w:kern w:val="0"/>
                <w:szCs w:val="21"/>
              </w:rPr>
            </w:pPr>
            <w:r>
              <w:rPr>
                <w:rFonts w:hint="eastAsia" w:ascii="黑体" w:hAnsi="黑体" w:eastAsia="黑体"/>
                <w:b/>
                <w:kern w:val="0"/>
                <w:szCs w:val="21"/>
              </w:rPr>
              <w:t>（会办）</w:t>
            </w:r>
          </w:p>
        </w:tc>
        <w:tc>
          <w:tcPr>
            <w:tcW w:w="1963" w:type="dxa"/>
            <w:vMerge w:val="continue"/>
            <w:vAlign w:val="center"/>
          </w:tcPr>
          <w:p>
            <w:pPr>
              <w:rPr>
                <w:rFonts w:ascii="黑体" w:hAnsi="黑体" w:eastAsia="黑体"/>
                <w:b/>
                <w:bCs/>
                <w:kern w:val="0"/>
                <w:szCs w:val="21"/>
              </w:rPr>
            </w:pPr>
          </w:p>
        </w:tc>
        <w:tc>
          <w:tcPr>
            <w:tcW w:w="2088" w:type="dxa"/>
            <w:vMerge w:val="continue"/>
            <w:vAlign w:val="center"/>
          </w:tcPr>
          <w:p>
            <w:pPr>
              <w:rPr>
                <w:rFonts w:ascii="黑体" w:hAnsi="黑体" w:eastAsia="黑体"/>
                <w:b/>
                <w:bCs/>
                <w:kern w:val="0"/>
                <w:szCs w:val="21"/>
              </w:rPr>
            </w:pPr>
          </w:p>
        </w:tc>
        <w:tc>
          <w:tcPr>
            <w:tcW w:w="2105" w:type="dxa"/>
            <w:vMerge w:val="continue"/>
            <w:vAlign w:val="center"/>
          </w:tcPr>
          <w:p>
            <w:pPr>
              <w:rPr>
                <w:rFonts w:ascii="黑体" w:hAnsi="黑体" w:eastAsia="黑体"/>
                <w:b/>
                <w:bCs/>
                <w:kern w:val="0"/>
                <w:szCs w:val="21"/>
              </w:rPr>
            </w:pPr>
          </w:p>
        </w:tc>
        <w:tc>
          <w:tcPr>
            <w:tcW w:w="2092" w:type="dxa"/>
            <w:vMerge w:val="continue"/>
            <w:vAlign w:val="center"/>
          </w:tcPr>
          <w:p>
            <w:pPr>
              <w:rPr>
                <w:rFonts w:ascii="黑体" w:hAnsi="黑体" w:eastAsia="黑体"/>
                <w:b/>
                <w:bCs/>
                <w:kern w:val="0"/>
                <w:szCs w:val="21"/>
              </w:rPr>
            </w:pPr>
          </w:p>
        </w:tc>
        <w:tc>
          <w:tcPr>
            <w:tcW w:w="1301" w:type="dxa"/>
            <w:vMerge w:val="continue"/>
            <w:vAlign w:val="center"/>
          </w:tcPr>
          <w:p>
            <w:pPr>
              <w:rPr>
                <w:rFonts w:ascii="黑体" w:hAnsi="黑体" w:eastAsia="黑体"/>
                <w:b/>
                <w:bCs/>
                <w:kern w:val="0"/>
                <w:szCs w:val="21"/>
              </w:rPr>
            </w:pPr>
          </w:p>
        </w:tc>
      </w:tr>
      <w:tr>
        <w:tc>
          <w:tcPr>
            <w:tcW w:w="2310" w:type="dxa"/>
            <w:vMerge w:val="restart"/>
          </w:tcPr>
          <w:p>
            <w:pPr/>
            <w:r>
              <w:rPr>
                <w:lang w:val="zh-CN"/>
              </w:rPr>
              <w:t>20210325</w:t>
            </w:r>
          </w:p>
        </w:tc>
        <w:tc>
          <w:tcPr>
            <w:tcW w:w="2310" w:type="dxa"/>
            <w:vMerge w:val="restart"/>
          </w:tcPr>
          <w:p>
            <w:pPr/>
            <w:r>
              <w:rPr>
                <w:lang w:val="zh-CN"/>
              </w:rPr>
              <w:t>关于将深圳建设成全球资源节约环境友好“可持续”发展时尚之都的建议</w:t>
            </w:r>
          </w:p>
        </w:tc>
        <w:tc>
          <w:tcPr>
            <w:tcW w:w="2310" w:type="dxa"/>
            <w:vMerge w:val="restart"/>
          </w:tcPr>
          <w:p>
            <w:pPr/>
            <w:r>
              <w:rPr>
                <w:lang w:val="zh-CN"/>
              </w:rPr>
              <w:t>罗峥</w:t>
            </w:r>
          </w:p>
        </w:tc>
        <w:tc>
          <w:tcPr>
            <w:tcW w:w="2310" w:type="dxa"/>
            <w:vMerge w:val="restart"/>
          </w:tcPr>
          <w:p>
            <w:pPr/>
            <w:r>
              <w:rPr>
                <w:lang w:val="zh-CN"/>
              </w:rPr>
              <w:t>市工业和信息化局</w:t>
            </w:r>
          </w:p>
        </w:tc>
        <w:tc>
          <w:tcPr>
            <w:tcW w:w="2310" w:type="dxa"/>
            <w:vMerge w:val="restart"/>
          </w:tcPr>
          <w:p>
            <w:pPr/>
            <w:r>
              <w:rPr>
                <w:lang w:val="zh-CN"/>
              </w:rPr>
              <w:t>市市场监督管理局</w:t>
            </w:r>
          </w:p>
        </w:tc>
        <w:tc>
          <w:tcPr>
            <w:tcW w:w="2310" w:type="dxa"/>
          </w:tcPr>
          <w:p>
            <w:pPr/>
            <w:r>
              <w:rPr>
                <w:lang w:val="zh-CN"/>
              </w:rPr>
              <w:t>1.构建“可持续”时尚发展体系，是后疫情时代的关键词</w:t>
            </w:r>
          </w:p>
        </w:tc>
        <w:tc>
          <w:tcPr>
            <w:tcW w:w="2310" w:type="dxa"/>
          </w:tcPr>
          <w:p>
            <w:pPr/>
            <w:r>
              <w:rPr>
                <w:lang w:val="zh-CN"/>
              </w:rPr>
              <w:t>1.成立市级层面推动“双碳”工作领导小组及工作专班；抓好多元化能源供给，持续优化能源管理，推进“零碳”能源多元化供给；推动产业结构优化，全面推进能源消费方式变革；强化法规制度保障，完善绿色低碳市场化机制。</w:t>
            </w:r>
          </w:p>
        </w:tc>
        <w:tc>
          <w:tcPr>
            <w:tcW w:w="2310" w:type="dxa"/>
          </w:tcPr>
          <w:p>
            <w:pPr/>
          </w:p>
        </w:tc>
        <w:tc>
          <w:tcPr>
            <w:tcW w:w="2310" w:type="dxa"/>
          </w:tcPr>
          <w:p>
            <w:pPr/>
          </w:p>
        </w:tc>
        <w:tc>
          <w:tcPr>
            <w:tcW w:w="2310" w:type="dxa"/>
          </w:tcPr>
          <w:p>
            <w:pPr/>
          </w:p>
        </w:tc>
      </w:tr>
      <w:tr>
        <w:tc>
          <w:tcPr>
            <w:tcW w:w="2310" w:type="dxa"/>
            <w:vMerge/>
          </w:tcPr>
          <w:p>
            <w:pPr/>
          </w:p>
        </w:tc>
        <w:tc>
          <w:tcPr>
            <w:tcW w:w="2310" w:type="dxa"/>
            <w:vMerge/>
          </w:tcPr>
          <w:p>
            <w:pPr/>
          </w:p>
        </w:tc>
        <w:tc>
          <w:tcPr>
            <w:tcW w:w="2310" w:type="dxa"/>
            <w:vMerge/>
          </w:tcPr>
          <w:p>
            <w:pPr/>
          </w:p>
        </w:tc>
        <w:tc>
          <w:tcPr>
            <w:tcW w:w="2310" w:type="dxa"/>
            <w:vMerge/>
          </w:tcPr>
          <w:p>
            <w:pPr/>
          </w:p>
        </w:tc>
        <w:tc>
          <w:tcPr>
            <w:tcW w:w="2310" w:type="dxa"/>
            <w:vMerge/>
          </w:tcPr>
          <w:p>
            <w:pPr/>
          </w:p>
        </w:tc>
        <w:tc>
          <w:tcPr>
            <w:tcW w:w="2310" w:type="dxa"/>
          </w:tcPr>
          <w:p>
            <w:pPr/>
            <w:r>
              <w:rPr>
                <w:lang w:val="zh-CN"/>
              </w:rPr>
              <w:t>2.构建“可持续性”时尚体系，必须高位推动、多措并举、保证推动效果</w:t>
            </w:r>
          </w:p>
        </w:tc>
        <w:tc>
          <w:tcPr>
            <w:tcW w:w="2310" w:type="dxa"/>
          </w:tcPr>
          <w:p>
            <w:pPr/>
            <w:r>
              <w:rPr>
                <w:lang w:val="zh-CN"/>
              </w:rPr>
              <w:t>1.推动建立深圳市产品碳标签制度，编制形成《产品碳足迹评价技术规范 服装》《产品碳足迹评价技术规范 家用纺织品》送审稿。</w:t>
            </w:r>
          </w:p>
        </w:tc>
        <w:tc>
          <w:tcPr>
            <w:tcW w:w="2310" w:type="dxa"/>
          </w:tcPr>
          <w:p>
            <w:pPr/>
          </w:p>
        </w:tc>
        <w:tc>
          <w:tcPr>
            <w:tcW w:w="2310" w:type="dxa"/>
          </w:tcPr>
          <w:p>
            <w:pPr/>
          </w:p>
        </w:tc>
        <w:tc>
          <w:tcPr>
            <w:tcW w:w="2310" w:type="dxa"/>
          </w:tcPr>
          <w:p>
            <w:pPr/>
          </w:p>
        </w:tc>
      </w:tr>
      <w:tr>
        <w:tc>
          <w:tcPr>
            <w:tcW w:w="2310" w:type="dxa"/>
            <w:vMerge/>
          </w:tcPr>
          <w:p>
            <w:pPr/>
          </w:p>
        </w:tc>
        <w:tc>
          <w:tcPr>
            <w:tcW w:w="2310" w:type="dxa"/>
            <w:vMerge/>
          </w:tcPr>
          <w:p>
            <w:pPr/>
          </w:p>
        </w:tc>
        <w:tc>
          <w:tcPr>
            <w:tcW w:w="2310" w:type="dxa"/>
            <w:vMerge/>
          </w:tcPr>
          <w:p>
            <w:pPr/>
          </w:p>
        </w:tc>
        <w:tc>
          <w:tcPr>
            <w:tcW w:w="2310" w:type="dxa"/>
            <w:vMerge/>
          </w:tcPr>
          <w:p>
            <w:pPr/>
          </w:p>
        </w:tc>
        <w:tc>
          <w:tcPr>
            <w:tcW w:w="2310" w:type="dxa"/>
            <w:vMerge/>
          </w:tcPr>
          <w:p>
            <w:pPr/>
          </w:p>
        </w:tc>
        <w:tc>
          <w:tcPr>
            <w:tcW w:w="2310" w:type="dxa"/>
          </w:tcPr>
          <w:p>
            <w:pPr/>
            <w:r>
              <w:rPr>
                <w:lang w:val="zh-CN"/>
              </w:rPr>
              <w:t>3.可持续时尚将成为定义未来产业格局，树立国际时尚话语权的重要引擎</w:t>
            </w:r>
          </w:p>
        </w:tc>
        <w:tc>
          <w:tcPr>
            <w:tcW w:w="2310" w:type="dxa"/>
          </w:tcPr>
          <w:p>
            <w:pPr/>
            <w:r>
              <w:rPr>
                <w:lang w:val="zh-CN"/>
              </w:rPr>
              <w:t>1.深圳时装周2021秋冬系列举办了大湾区可持续时尚论坛等以时尚产业绿色可持续发展为主题的活动。深圳设计周的永久主题为“设计可持续”，专门设立了“可持续发展特别奖”，奖金50万。</w:t>
            </w:r>
          </w:p>
        </w:tc>
        <w:tc>
          <w:tcPr>
            <w:tcW w:w="2310" w:type="dxa"/>
          </w:tcPr>
          <w:p>
            <w:pPr/>
          </w:p>
        </w:tc>
        <w:tc>
          <w:tcPr>
            <w:tcW w:w="2310" w:type="dxa"/>
          </w:tcPr>
          <w:p>
            <w:pPr/>
          </w:p>
        </w:tc>
        <w:tc>
          <w:tcPr>
            <w:tcW w:w="2310" w:type="dxa"/>
          </w:tcPr>
          <w:p>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21706E"/>
    <w:rsid w:val="002368EF"/>
    <w:rsid w:val="002476F6"/>
    <w:rsid w:val="06664139"/>
    <w:rsid w:val="172D20D6"/>
    <w:rsid w:val="180264EE"/>
    <w:rsid w:val="349E50A3"/>
    <w:rsid w:val="392A61C5"/>
    <w:rsid w:val="44E5336B"/>
    <w:rsid w:val="4ADF6A2B"/>
    <w:rsid w:val="4B177DEB"/>
    <w:rsid w:val="4BA1709E"/>
    <w:rsid w:val="4C8D0060"/>
    <w:rsid w:val="55544710"/>
    <w:rsid w:val="566775E1"/>
    <w:rsid w:val="593A72C1"/>
    <w:rsid w:val="65125460"/>
    <w:rsid w:val="6C407861"/>
    <w:rsid w:val="762F3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uiPriority w:val="0"/>
    <w:rPr>
      <w:kern w:val="2"/>
      <w:sz w:val="18"/>
      <w:szCs w:val="18"/>
    </w:rPr>
  </w:style>
  <w:style w:type="character" w:customStyle="1" w:styleId="8">
    <w:name w:val="页脚 字符"/>
    <w:basedOn w:val="6"/>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28</Words>
  <Characters>165</Characters>
  <Lines>1</Lines>
  <Paragraphs>1</Paragraphs>
  <TotalTime>0</TotalTime>
  <ScaleCrop>false</ScaleCrop>
  <LinksUpToDate>false</LinksUpToDate>
  <CharactersWithSpaces>192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Super.Ni</cp:lastModifiedBy>
  <dcterms:modified xsi:type="dcterms:W3CDTF">2020-12-13T06:01:44Z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