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2021年12月07日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20210370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关于政府加大力度支持科技型中小企业创新技术产品产业化、市场化的提案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喻东旭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市科技创新委员会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1.加强创新型中小企业的产业配套服务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1.举办2021年“创客中国”深圳市专精特新中小企业创新创业大赛，帮助企业对接各类创新创业资源，并设立头部企业命题赛，促进大中小企业融通发展。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1.组织市级专精特新中小企业遴选，帮扶企业走专精特新发展之路。研究制定《深圳市科技创新委员会创新型产业用房管理实施细则》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2.建立科技型中小企业产业化落地平台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1.组织实施小型微型企业贷款担保费补贴资助项目申报。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3.强化中小科技企业服务意识，出台针对性政策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发布了《市工业和信息化局关于征集创新产品的通知》，征集创新产品，编制有关推广应用目录。我市进一步完善创新券项目，缩短创新券兑现周期，由原来的一年兑现一次提高到一年兑现多次，减轻创新券服务机构资金垫付压力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1.依托“深i企”打造我市商市主体统一服务平台，并聚焦企业经营发展的痛点、堵点、难点以及最迫切需求，目前已提供政策查询与匹配、资金申报、业务办理、诉求纾解等多种服务功能。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