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2021年12月07日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20210468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关于打造深圳都市圈制造产业生态链的提案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但红学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市发展和改革委员会,市政府扶贫协作和合作交流办公室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1.建立深圳都市圈城市产业生态链协同工作机制。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1.上报市政府审定《深圳都市圈发展规划（2021-2025年）（送审稿）》，初步谋划提出建立深圳都市圈一体化推进协调机制。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2.汇总我市各有关单位、各区意见，经市政府审定，回复省发改委对《深圳都市圈发展规划（2021-2025年）（征求意见稿）》的修改意见。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1.按照国家、省关于培育都市圈有关要求，加强与东莞、惠州、河源、汕尾四市沟通协商，积极推动编制《深圳都市圈发展规（2021-2025年）》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2.加强与省发改委汇报，按照省发改委要求对都市圈规划进行修改完善，争取省予以支持，将深圳都市圈发展规划尽快上报国家发改委。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1.积极争取国家、省支持，推动出台深圳都市圈规划，推动建立都市圈跨市域协调机制。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2.共同打造专业产业园区。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1.在《深圳都市圈发展规划（2021-2025年）（送审稿）》中提出“推动跨区域产城融合组团建设”、“编制都市圈科创、产业等专项规划”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2.推进深河、深汕12个共建产业园区提质增效，帮扶河源打造国家级高新区1家、省级2家，汕尾陆河园认定省级高新区。2018年累计帮扶河源、汕尾引进超亿元工业项目210个。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1.加强与东莞、惠州、河源、汕尾四市沟通协商， 在深圳都市圈规划编制中，推动研发、中试、大规模生产制造等上下游环节协同布局，加强都市圈产业协同发展。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2.今年1-5月，12个共建产业园共引进超亿元工业项目16个、计划投资额68亿元。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1.积极争取国家和省支持，在深圳都市圈规划编制中，谋划推动都市圈打造先进制造业等产业集群，推动跨区域产城融合组团建设。
</w:t>
            </w:r>
            <w:r>
              <w:rPr>
                <w:lang w:val="zh-CN"/>
              </w:rPr>
              <w:br/>
            </w:r>
            <w:r>
              <w:rPr>
                <w:lang w:val="zh-CN"/>
              </w:rPr>
              <w:t>2.继续抓好12个共建产业园的提质增效工作，有序开展产业梯度转移，注重创新产业链的培育，推进园区实现高质量发展、协同发展。
</w:t>
            </w:r>
            <w:r>
              <w:rPr>
                <w:lang w:val="zh-CN"/>
              </w:rPr>
              <w:br/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3.构建企业迁移预测预警信息化系统，全力打造主动精 准、优质高效的政务服务。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1.我市成立了由市市场监管局牵头，多部门及各区政府参与的相关服务工作机制。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1.按照相关工作服务机制，及时联络企业，主动跟进服务，了解外迁原因等，及时精准解决企业困难问题，大力争取留住企业或核心业务。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相关部门将继续开展企业外迁预警相关工作，抓紧建立相关系统，市、区两级加强沟通协作，及时共享信息，共同促进我市增强核心引擎功能,适时为领导决策提出更多有参考价值的政策建议，打造更好更优更强的营商环境，促进企业根植深圳做大做强。</w:t>
            </w:r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