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p>
      <w:pPr>
        <w:jc w:val="center"/>
        <w:rPr>
          <w:sz w:val="44"/>
          <w:szCs w:val="44"/>
        </w:rPr>
      </w:pPr>
      <w:r>
        <w:rPr>
          <w:rFonts w:hint="eastAsia"/>
          <w:sz w:val="44"/>
          <w:szCs w:val="44"/>
        </w:rPr>
        <w:t>深圳市政协</w:t>
      </w:r>
      <w:r>
        <w:rPr>
          <w:rFonts w:hint="eastAsia"/>
          <w:sz w:val="44"/>
          <w:szCs w:val="44"/>
        </w:rPr>
        <w:t>2021</w:t>
      </w:r>
      <w:r>
        <w:rPr>
          <w:rFonts w:hint="eastAsia"/>
          <w:sz w:val="44"/>
          <w:szCs w:val="44"/>
        </w:rPr>
        <w:t>年提案工作清单表</w:t>
      </w:r>
    </w:p>
    <w:p>
      <w:pPr>
        <w:jc w:val="left"/>
        <w:rPr>
          <w:sz w:val="24"/>
        </w:rPr>
      </w:pPr>
      <w:r>
        <w:rPr>
          <w:rFonts w:ascii="宋体" w:hAnsi="宋体" w:cs="宋体" w:hint="eastAsia"/>
          <w:kern w:val="0"/>
          <w:sz w:val="20"/>
          <w:szCs w:val="20"/>
        </w:rPr>
        <w:t>市工业和信息化局</w:t>
      </w:r>
      <w:r>
        <w:rPr>
          <w:sz w:val="24"/>
        </w:rPr>
        <w:t xml:space="preserve">                                                               </w:t>
      </w:r>
      <w:r>
        <w:rPr>
          <w:rFonts w:hint="eastAsia"/>
          <w:sz w:val="24"/>
        </w:rPr>
        <w:t>整理时间：</w:t>
      </w:r>
      <w:bookmarkStart w:id="0" w:name="OLE_LINK2"/>
      <w:bookmarkEnd w:id="0"/>
      <w:r>
        <w:rPr>
          <w:rFonts w:hint="eastAsia"/>
          <w:sz w:val="24"/>
        </w:rPr>
        <w:t>2021年12月01日</w:t>
      </w:r>
    </w:p>
    <w:tbl>
      <w:tblPr>
        <w:tblStyle w:val="TableNormal"/>
        <w:tblW w:w="133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36"/>
        <w:gridCol w:w="1336"/>
        <w:gridCol w:w="1337"/>
        <w:gridCol w:w="1337"/>
        <w:gridCol w:w="1337"/>
        <w:gridCol w:w="1337"/>
        <w:gridCol w:w="1337"/>
        <w:gridCol w:w="1337"/>
        <w:gridCol w:w="1337"/>
        <w:gridCol w:w="1337"/>
      </w:tblGrid>
      <w:tr>
        <w:tblPrEx>
          <w:tblW w:w="133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33"/>
        </w:trPr>
        <w:tc>
          <w:tcPr>
            <w:tcW w:w="590" w:type="dxa"/>
            <w:vMerge w:val="restart"/>
            <w:vAlign w:val="center"/>
          </w:tcPr>
          <w:p>
            <w:pPr>
              <w:jc w:val="center"/>
              <w:rPr>
                <w:rFonts w:ascii="黑体" w:eastAsia="黑体" w:hAnsi="黑体"/>
                <w:b/>
                <w:kern w:val="0"/>
                <w:szCs w:val="21"/>
              </w:rPr>
            </w:pPr>
            <w:r>
              <w:rPr>
                <w:rFonts w:ascii="黑体" w:eastAsia="黑体" w:hAnsi="黑体" w:hint="eastAsia"/>
                <w:b/>
                <w:kern w:val="0"/>
                <w:szCs w:val="21"/>
              </w:rPr>
              <w:t>案号</w:t>
            </w:r>
          </w:p>
        </w:tc>
        <w:tc>
          <w:tcPr>
            <w:tcW w:w="808" w:type="dxa"/>
            <w:vMerge w:val="restart"/>
            <w:vAlign w:val="center"/>
          </w:tcPr>
          <w:p>
            <w:pPr>
              <w:jc w:val="center"/>
              <w:rPr>
                <w:rFonts w:ascii="黑体" w:eastAsia="黑体" w:hAnsi="黑体"/>
                <w:b/>
                <w:kern w:val="0"/>
                <w:szCs w:val="21"/>
              </w:rPr>
            </w:pPr>
            <w:r>
              <w:rPr>
                <w:rFonts w:ascii="黑体" w:eastAsia="黑体" w:hAnsi="黑体" w:hint="eastAsia"/>
                <w:b/>
                <w:kern w:val="0"/>
                <w:szCs w:val="21"/>
              </w:rPr>
              <w:t>案由</w:t>
            </w:r>
          </w:p>
        </w:tc>
        <w:tc>
          <w:tcPr>
            <w:tcW w:w="730" w:type="dxa"/>
            <w:vMerge w:val="restart"/>
            <w:vAlign w:val="center"/>
          </w:tcPr>
          <w:p>
            <w:pPr>
              <w:jc w:val="center"/>
              <w:rPr>
                <w:rFonts w:ascii="黑体" w:eastAsia="黑体" w:hAnsi="黑体"/>
                <w:b/>
                <w:kern w:val="0"/>
                <w:szCs w:val="21"/>
              </w:rPr>
            </w:pPr>
            <w:r>
              <w:rPr>
                <w:rFonts w:ascii="黑体" w:eastAsia="黑体" w:hAnsi="黑体" w:hint="eastAsia"/>
                <w:b/>
                <w:kern w:val="0"/>
                <w:szCs w:val="21"/>
              </w:rPr>
              <w:t>第一提案人</w:t>
            </w:r>
          </w:p>
        </w:tc>
        <w:tc>
          <w:tcPr>
            <w:tcW w:w="1691" w:type="dxa"/>
            <w:gridSpan w:val="2"/>
            <w:vAlign w:val="center"/>
          </w:tcPr>
          <w:p>
            <w:pPr>
              <w:jc w:val="center"/>
              <w:rPr>
                <w:rFonts w:ascii="黑体" w:eastAsia="黑体" w:hAnsi="黑体"/>
                <w:b/>
                <w:kern w:val="0"/>
                <w:szCs w:val="21"/>
              </w:rPr>
            </w:pPr>
            <w:r>
              <w:rPr>
                <w:rFonts w:ascii="黑体" w:eastAsia="黑体" w:hAnsi="黑体" w:hint="eastAsia"/>
                <w:b/>
                <w:kern w:val="0"/>
                <w:szCs w:val="21"/>
              </w:rPr>
              <w:t>办理单位</w:t>
            </w:r>
          </w:p>
        </w:tc>
        <w:tc>
          <w:tcPr>
            <w:tcW w:w="1963" w:type="dxa"/>
            <w:vMerge w:val="restart"/>
            <w:vAlign w:val="center"/>
          </w:tcPr>
          <w:p>
            <w:pPr>
              <w:jc w:val="center"/>
              <w:rPr>
                <w:rFonts w:ascii="黑体" w:eastAsia="黑体" w:hAnsi="黑体"/>
                <w:b/>
                <w:kern w:val="0"/>
                <w:szCs w:val="21"/>
              </w:rPr>
            </w:pPr>
            <w:r>
              <w:rPr>
                <w:rFonts w:ascii="黑体" w:eastAsia="黑体" w:hAnsi="黑体" w:hint="eastAsia"/>
                <w:b/>
                <w:kern w:val="0"/>
                <w:szCs w:val="21"/>
              </w:rPr>
              <w:t>提案意见建议</w:t>
            </w:r>
          </w:p>
        </w:tc>
        <w:tc>
          <w:tcPr>
            <w:tcW w:w="2088" w:type="dxa"/>
            <w:vMerge w:val="restart"/>
            <w:vAlign w:val="center"/>
          </w:tcPr>
          <w:p>
            <w:pPr>
              <w:jc w:val="center"/>
              <w:rPr>
                <w:rFonts w:ascii="黑体" w:eastAsia="黑体" w:hAnsi="黑体"/>
                <w:b/>
                <w:kern w:val="0"/>
                <w:szCs w:val="21"/>
              </w:rPr>
            </w:pPr>
            <w:r>
              <w:rPr>
                <w:rFonts w:ascii="黑体" w:eastAsia="黑体" w:hAnsi="黑体" w:hint="eastAsia"/>
                <w:b/>
                <w:kern w:val="0"/>
                <w:szCs w:val="21"/>
              </w:rPr>
              <w:t>当年完成事项</w:t>
            </w:r>
          </w:p>
        </w:tc>
        <w:tc>
          <w:tcPr>
            <w:tcW w:w="2105" w:type="dxa"/>
            <w:vMerge w:val="restart"/>
            <w:vAlign w:val="center"/>
          </w:tcPr>
          <w:p>
            <w:pPr>
              <w:jc w:val="center"/>
              <w:rPr>
                <w:rFonts w:ascii="黑体" w:eastAsia="黑体" w:hAnsi="黑体"/>
                <w:b/>
                <w:kern w:val="0"/>
                <w:szCs w:val="21"/>
              </w:rPr>
            </w:pPr>
            <w:r>
              <w:rPr>
                <w:rFonts w:ascii="黑体" w:eastAsia="黑体" w:hAnsi="黑体" w:hint="eastAsia"/>
                <w:b/>
                <w:kern w:val="0"/>
                <w:szCs w:val="21"/>
              </w:rPr>
              <w:t>当年推动工作</w:t>
            </w:r>
          </w:p>
        </w:tc>
        <w:tc>
          <w:tcPr>
            <w:tcW w:w="2092" w:type="dxa"/>
            <w:vMerge w:val="restart"/>
            <w:vAlign w:val="center"/>
          </w:tcPr>
          <w:p>
            <w:pPr>
              <w:jc w:val="center"/>
              <w:rPr>
                <w:rFonts w:ascii="黑体" w:eastAsia="黑体" w:hAnsi="黑体"/>
                <w:b/>
                <w:kern w:val="0"/>
                <w:szCs w:val="21"/>
              </w:rPr>
            </w:pPr>
            <w:r>
              <w:rPr>
                <w:rFonts w:ascii="黑体" w:eastAsia="黑体" w:hAnsi="黑体" w:hint="eastAsia"/>
                <w:b/>
                <w:kern w:val="0"/>
                <w:szCs w:val="21"/>
              </w:rPr>
              <w:t>明年待落实事项</w:t>
            </w:r>
          </w:p>
        </w:tc>
        <w:tc>
          <w:tcPr>
            <w:tcW w:w="1301" w:type="dxa"/>
            <w:vMerge w:val="restart"/>
            <w:vAlign w:val="center"/>
          </w:tcPr>
          <w:p>
            <w:pPr>
              <w:jc w:val="center"/>
              <w:rPr>
                <w:rFonts w:ascii="黑体" w:eastAsia="黑体" w:hAnsi="黑体"/>
                <w:b/>
                <w:kern w:val="0"/>
                <w:szCs w:val="21"/>
              </w:rPr>
            </w:pPr>
            <w:r>
              <w:rPr>
                <w:rFonts w:ascii="黑体" w:eastAsia="黑体" w:hAnsi="黑体" w:hint="eastAsia"/>
                <w:b/>
                <w:kern w:val="0"/>
                <w:szCs w:val="21"/>
              </w:rPr>
              <w:t>不能采纳原因及其他情况说明</w:t>
            </w:r>
            <w:bookmarkStart w:id="1" w:name="_GoBack"/>
            <w:bookmarkEnd w:id="1"/>
          </w:p>
        </w:tc>
      </w:tr>
      <w:tr>
        <w:tblPrEx>
          <w:tblW w:w="13368" w:type="dxa"/>
          <w:tblInd w:w="0" w:type="dxa"/>
          <w:tblLayout w:type="fixed"/>
          <w:tblCellMar>
            <w:top w:w="0" w:type="dxa"/>
            <w:left w:w="108" w:type="dxa"/>
            <w:bottom w:w="0" w:type="dxa"/>
            <w:right w:w="108" w:type="dxa"/>
          </w:tblCellMar>
        </w:tblPrEx>
        <w:trPr>
          <w:trHeight w:val="789"/>
        </w:trPr>
        <w:tc>
          <w:tcPr>
            <w:tcW w:w="590" w:type="dxa"/>
            <w:vMerge/>
            <w:vAlign w:val="center"/>
          </w:tcPr>
          <w:p>
            <w:pPr>
              <w:jc w:val="center"/>
              <w:rPr>
                <w:rFonts w:ascii="黑体" w:eastAsia="黑体" w:hAnsi="黑体"/>
                <w:kern w:val="0"/>
                <w:szCs w:val="21"/>
              </w:rPr>
            </w:pPr>
          </w:p>
        </w:tc>
        <w:tc>
          <w:tcPr>
            <w:tcW w:w="808" w:type="dxa"/>
            <w:vMerge/>
            <w:vAlign w:val="center"/>
          </w:tcPr>
          <w:p>
            <w:pPr>
              <w:rPr>
                <w:rFonts w:ascii="黑体" w:eastAsia="黑体" w:hAnsi="黑体"/>
                <w:kern w:val="0"/>
                <w:szCs w:val="21"/>
              </w:rPr>
            </w:pPr>
          </w:p>
        </w:tc>
        <w:tc>
          <w:tcPr>
            <w:tcW w:w="730" w:type="dxa"/>
            <w:vMerge/>
            <w:vAlign w:val="center"/>
          </w:tcPr>
          <w:p>
            <w:pPr>
              <w:rPr>
                <w:rFonts w:ascii="黑体" w:eastAsia="黑体" w:hAnsi="黑体"/>
                <w:kern w:val="0"/>
                <w:szCs w:val="21"/>
              </w:rPr>
            </w:pPr>
          </w:p>
        </w:tc>
        <w:tc>
          <w:tcPr>
            <w:tcW w:w="749" w:type="dxa"/>
            <w:vAlign w:val="center"/>
          </w:tcPr>
          <w:p>
            <w:pPr>
              <w:jc w:val="center"/>
              <w:rPr>
                <w:rFonts w:ascii="黑体" w:eastAsia="黑体" w:hAnsi="黑体"/>
                <w:b/>
                <w:kern w:val="0"/>
                <w:szCs w:val="21"/>
              </w:rPr>
            </w:pPr>
            <w:r>
              <w:rPr>
                <w:rFonts w:ascii="黑体" w:eastAsia="黑体" w:hAnsi="黑体" w:hint="eastAsia"/>
                <w:b/>
                <w:kern w:val="0"/>
                <w:szCs w:val="21"/>
              </w:rPr>
              <w:t>承办</w:t>
            </w:r>
          </w:p>
          <w:p>
            <w:pPr>
              <w:jc w:val="center"/>
              <w:rPr>
                <w:rFonts w:ascii="黑体" w:eastAsia="黑体" w:hAnsi="黑体"/>
                <w:b/>
                <w:kern w:val="0"/>
                <w:szCs w:val="21"/>
              </w:rPr>
            </w:pPr>
            <w:r>
              <w:rPr>
                <w:rFonts w:ascii="黑体" w:eastAsia="黑体" w:hAnsi="黑体" w:hint="eastAsia"/>
                <w:b/>
                <w:kern w:val="0"/>
                <w:szCs w:val="21"/>
              </w:rPr>
              <w:t>（主办）</w:t>
            </w:r>
          </w:p>
        </w:tc>
        <w:tc>
          <w:tcPr>
            <w:tcW w:w="942" w:type="dxa"/>
            <w:vAlign w:val="center"/>
          </w:tcPr>
          <w:p>
            <w:pPr>
              <w:jc w:val="center"/>
              <w:rPr>
                <w:rFonts w:ascii="黑体" w:eastAsia="黑体" w:hAnsi="黑体"/>
                <w:b/>
                <w:kern w:val="0"/>
                <w:szCs w:val="21"/>
              </w:rPr>
            </w:pPr>
            <w:r>
              <w:rPr>
                <w:rFonts w:ascii="黑体" w:eastAsia="黑体" w:hAnsi="黑体" w:hint="eastAsia"/>
                <w:b/>
                <w:kern w:val="0"/>
                <w:szCs w:val="21"/>
              </w:rPr>
              <w:t>分办</w:t>
            </w:r>
          </w:p>
          <w:p>
            <w:pPr>
              <w:jc w:val="center"/>
              <w:rPr>
                <w:rFonts w:ascii="黑体" w:eastAsia="黑体" w:hAnsi="黑体"/>
                <w:b/>
                <w:kern w:val="0"/>
                <w:szCs w:val="21"/>
              </w:rPr>
            </w:pPr>
            <w:r>
              <w:rPr>
                <w:rFonts w:ascii="黑体" w:eastAsia="黑体" w:hAnsi="黑体" w:hint="eastAsia"/>
                <w:b/>
                <w:kern w:val="0"/>
                <w:szCs w:val="21"/>
              </w:rPr>
              <w:t>（会办）</w:t>
            </w:r>
          </w:p>
        </w:tc>
        <w:tc>
          <w:tcPr>
            <w:tcW w:w="1963" w:type="dxa"/>
            <w:vMerge/>
            <w:vAlign w:val="center"/>
          </w:tcPr>
          <w:p>
            <w:pPr>
              <w:rPr>
                <w:rFonts w:ascii="黑体" w:eastAsia="黑体" w:hAnsi="黑体"/>
                <w:b/>
                <w:bCs/>
                <w:kern w:val="0"/>
                <w:szCs w:val="21"/>
              </w:rPr>
            </w:pPr>
          </w:p>
        </w:tc>
        <w:tc>
          <w:tcPr>
            <w:tcW w:w="2088" w:type="dxa"/>
            <w:vMerge/>
            <w:vAlign w:val="center"/>
          </w:tcPr>
          <w:p>
            <w:pPr>
              <w:rPr>
                <w:rFonts w:ascii="黑体" w:eastAsia="黑体" w:hAnsi="黑体"/>
                <w:b/>
                <w:bCs/>
                <w:kern w:val="0"/>
                <w:szCs w:val="21"/>
              </w:rPr>
            </w:pPr>
          </w:p>
        </w:tc>
        <w:tc>
          <w:tcPr>
            <w:tcW w:w="2105" w:type="dxa"/>
            <w:vMerge/>
            <w:vAlign w:val="center"/>
          </w:tcPr>
          <w:p>
            <w:pPr>
              <w:rPr>
                <w:rFonts w:ascii="黑体" w:eastAsia="黑体" w:hAnsi="黑体"/>
                <w:b/>
                <w:bCs/>
                <w:kern w:val="0"/>
                <w:szCs w:val="21"/>
              </w:rPr>
            </w:pPr>
          </w:p>
        </w:tc>
        <w:tc>
          <w:tcPr>
            <w:tcW w:w="2092" w:type="dxa"/>
            <w:vMerge/>
            <w:vAlign w:val="center"/>
          </w:tcPr>
          <w:p>
            <w:pPr>
              <w:rPr>
                <w:rFonts w:ascii="黑体" w:eastAsia="黑体" w:hAnsi="黑体"/>
                <w:b/>
                <w:bCs/>
                <w:kern w:val="0"/>
                <w:szCs w:val="21"/>
              </w:rPr>
            </w:pPr>
          </w:p>
        </w:tc>
        <w:tc>
          <w:tcPr>
            <w:tcW w:w="1301" w:type="dxa"/>
            <w:vMerge/>
            <w:vAlign w:val="center"/>
          </w:tcPr>
          <w:p>
            <w:pPr>
              <w:rPr>
                <w:rFonts w:ascii="黑体" w:eastAsia="黑体" w:hAnsi="黑体"/>
                <w:b/>
                <w:bCs/>
                <w:kern w:val="0"/>
                <w:szCs w:val="21"/>
              </w:rPr>
            </w:pPr>
          </w:p>
        </w:tc>
      </w:tr>
      <w:tr>
        <w:tblPrEx>
          <w:tblW w:w="13368" w:type="dxa"/>
          <w:tblInd w:w="0" w:type="dxa"/>
          <w:tblLayout w:type="fixed"/>
          <w:tblCellMar>
            <w:top w:w="0" w:type="dxa"/>
            <w:left w:w="108" w:type="dxa"/>
            <w:bottom w:w="0" w:type="dxa"/>
            <w:right w:w="108" w:type="dxa"/>
          </w:tblCellMar>
        </w:tblPrEx>
        <w:tc>
          <w:tcPr>
            <w:tcW w:w="2310" w:type="dxa"/>
            <w:vMerge w:val="restart"/>
          </w:tcPr>
          <w:p>
            <w:r>
              <w:rPr>
                <w:lang w:val="zh-CN"/>
              </w:rPr>
              <w:t>20210208</w:t>
            </w:r>
          </w:p>
        </w:tc>
        <w:tc>
          <w:tcPr>
            <w:tcW w:w="2310" w:type="dxa"/>
            <w:vMerge w:val="restart"/>
          </w:tcPr>
          <w:p>
            <w:r>
              <w:rPr>
                <w:lang w:val="zh-CN"/>
              </w:rPr>
              <w:t>关于持续改善科技型中小企业营商环境的建议</w:t>
            </w:r>
          </w:p>
        </w:tc>
        <w:tc>
          <w:tcPr>
            <w:tcW w:w="2310" w:type="dxa"/>
            <w:vMerge w:val="restart"/>
          </w:tcPr>
          <w:p>
            <w:r>
              <w:rPr>
                <w:lang w:val="zh-CN"/>
              </w:rPr>
              <w:t>刘丹宁</w:t>
            </w:r>
          </w:p>
        </w:tc>
        <w:tc>
          <w:tcPr>
            <w:tcW w:w="2310" w:type="dxa"/>
            <w:vMerge w:val="restart"/>
          </w:tcPr>
          <w:p>
            <w:r>
              <w:rPr>
                <w:lang w:val="zh-CN"/>
              </w:rPr>
              <w:t>市工业和信息化局</w:t>
            </w:r>
          </w:p>
        </w:tc>
        <w:tc>
          <w:tcPr>
            <w:tcW w:w="2310" w:type="dxa"/>
            <w:vMerge w:val="restart"/>
          </w:tcPr>
          <w:p>
            <w:r>
              <w:rPr>
                <w:lang w:val="zh-CN"/>
              </w:rPr>
              <w:t>市科技创新委员会,市地方金融监督管理局,市财政局</w:t>
            </w:r>
          </w:p>
        </w:tc>
        <w:tc>
          <w:tcPr>
            <w:tcW w:w="2310" w:type="dxa"/>
          </w:tcPr>
          <w:p>
            <w:r>
              <w:rPr>
                <w:lang w:val="zh-CN"/>
              </w:rPr>
              <w:t>1.建议允许科技型企业用无形资产抵押贷款。</w:t>
            </w:r>
          </w:p>
        </w:tc>
        <w:tc>
          <w:tcPr>
            <w:tcW w:w="2310" w:type="dxa"/>
          </w:tcPr>
          <w:p>
            <w:r>
              <w:rPr>
                <w:lang w:val="zh-CN"/>
              </w:rPr>
              <w:t>1.在特色机构方面。截至2020年12月，我市有4家创新型法人金融机构（微众银行、招联消费金融、易安财产保险股份有限公司和众惠财产相互保险社）、2家科技小额贷款公司（诚正科技小贷公司、力合科技小贷公司）、3家科技融资担保公司（高新投、中小担、力合融资担保），“科技银行”浦发硅谷银行国内第二家分行也在我市落地开业。银行设立科技支行（含专营机构）65 家，从业人数 2094 人。</w:t>
            </w:r>
            <w:r>
              <w:rPr>
                <w:lang w:val="zh-CN"/>
              </w:rPr>
              <w:br/>
            </w:r>
            <w:r>
              <w:rPr>
                <w:lang w:val="zh-CN"/>
              </w:rPr>
              <w:t>2.在银行信贷产品和规模方面。截止2020年12月末，辖内银行业金融机构对28232家科技型企业贷款余额为4505亿元；辖内设立科技支行（含专营机构）65 家，从业人数2094人；辖内共有8家机构开展投贷联动业务，累计客户264家，累计融资51亿元，存量客户156家，贷款余额5亿元；辖内共有22家银行机构开展知识产权质押业务，累计发放贷款 282家，贷款累计111.3亿元。</w:t>
            </w:r>
            <w:r>
              <w:rPr>
                <w:lang w:val="zh-CN"/>
              </w:rPr>
              <w:br/>
            </w:r>
            <w:r>
              <w:rPr>
                <w:lang w:val="zh-CN"/>
              </w:rPr>
              <w:t>3.财政支持方面。市财政已出资50亿元设立中小微企业银行贷款风险补偿资金池，并联合市工信部门修订印发《深圳市中小微企业银行贷款风险补偿资金池管理实施细则》（深工信规〔2020〕4号），对符合相关规定，以纯信用、知识产权、应收账款和存货抵（质）押等方式获得的贷款，对其不良贷款补偿标准比一般贷款提高5%，进一步鼓励金融机构向科技型企业开展无形资产抵押贷款。</w:t>
            </w:r>
            <w:r>
              <w:rPr>
                <w:lang w:val="zh-CN"/>
              </w:rPr>
              <w:br/>
            </w:r>
          </w:p>
        </w:tc>
        <w:tc>
          <w:tcPr>
            <w:tcW w:w="2310" w:type="dxa"/>
          </w:tcPr>
          <w:p/>
        </w:tc>
        <w:tc>
          <w:tcPr>
            <w:tcW w:w="2310" w:type="dxa"/>
          </w:tcPr>
          <w:p/>
        </w:tc>
        <w:tc>
          <w:tcPr>
            <w:tcW w:w="2310" w:type="dxa"/>
          </w:tcPr>
          <w:p/>
        </w:tc>
      </w:tr>
      <w:tr>
        <w:tblPrEx>
          <w:tblW w:w="13368" w:type="dxa"/>
          <w:tblInd w:w="0" w:type="dxa"/>
          <w:tblLayout w:type="fixed"/>
          <w:tblCellMar>
            <w:top w:w="0" w:type="dxa"/>
            <w:left w:w="108" w:type="dxa"/>
            <w:bottom w:w="0" w:type="dxa"/>
            <w:right w:w="108" w:type="dxa"/>
          </w:tblCellMar>
        </w:tblPrEx>
        <w:tc>
          <w:tcPr>
            <w:tcW w:w="2310" w:type="dxa"/>
            <w:vMerge/>
          </w:tcPr>
          <w:p/>
        </w:tc>
        <w:tc>
          <w:tcPr>
            <w:tcW w:w="2310" w:type="dxa"/>
            <w:vMerge/>
          </w:tcPr>
          <w:p/>
        </w:tc>
        <w:tc>
          <w:tcPr>
            <w:tcW w:w="2310" w:type="dxa"/>
            <w:vMerge/>
          </w:tcPr>
          <w:p/>
        </w:tc>
        <w:tc>
          <w:tcPr>
            <w:tcW w:w="2310" w:type="dxa"/>
            <w:vMerge/>
          </w:tcPr>
          <w:p/>
        </w:tc>
        <w:tc>
          <w:tcPr>
            <w:tcW w:w="2310" w:type="dxa"/>
            <w:vMerge/>
          </w:tcPr>
          <w:p/>
        </w:tc>
        <w:tc>
          <w:tcPr>
            <w:tcW w:w="2310" w:type="dxa"/>
          </w:tcPr>
          <w:p>
            <w:r>
              <w:rPr>
                <w:lang w:val="zh-CN"/>
              </w:rPr>
              <w:t>2.建议政府尽快细化落实产业园区准入及孵化政策，让高科技中小企业在政府规划与政策红利下快速生长</w:t>
            </w:r>
          </w:p>
        </w:tc>
        <w:tc>
          <w:tcPr>
            <w:tcW w:w="2310" w:type="dxa"/>
          </w:tcPr>
          <w:p>
            <w:r>
              <w:rPr>
                <w:lang w:val="zh-CN"/>
              </w:rPr>
              <w:t>1.助推生物医药中小企业孵化。我市在深圳高新区建有专业的生物医药产业园区--深圳高新区生物孵化器，总面积2万平米，属国家级生物孵化器。深圳高新区生物孵化器的扶持对象为成立时间短、从事生物医药研发的中小企业。深圳高新区生物孵化器举办各类产业服务活动，来汇聚产业发展资源。</w:t>
            </w:r>
            <w:r>
              <w:rPr>
                <w:lang w:val="zh-CN"/>
              </w:rPr>
              <w:br/>
            </w:r>
            <w:r>
              <w:rPr>
                <w:lang w:val="zh-CN"/>
              </w:rPr>
              <w:t>2.加强财政扶持。我市已出台《深圳市促进生物医药产业集聚发展的指导意见》等生物医药产业“1+3”政策文件、《深圳市创新型产业用房管理办法（修订版）》等文件，集聚多种资源大力支持生物医药产业发展，同时严格按照国家税收征管相关规定，大力宣传并依法全面落实国家出台的各项税收优惠政策，降低企业经营成本，助推企业快速发展。</w:t>
            </w:r>
            <w:r>
              <w:rPr>
                <w:lang w:val="zh-CN"/>
              </w:rPr>
              <w:br/>
            </w:r>
          </w:p>
        </w:tc>
        <w:tc>
          <w:tcPr>
            <w:tcW w:w="2310" w:type="dxa"/>
          </w:tcPr>
          <w:p>
            <w:r>
              <w:rPr>
                <w:lang w:val="zh-CN"/>
              </w:rPr>
              <w:t>1.为进一步扩大孵化器的产业空间，适应生物医药产业的快速发展的需要，市政府正积极拓展新的产业空间，相关空间项目目前正处于审批过程。</w:t>
            </w:r>
          </w:p>
        </w:tc>
        <w:tc>
          <w:tcPr>
            <w:tcW w:w="2310" w:type="dxa"/>
          </w:tcPr>
          <w:p>
            <w:r>
              <w:rPr>
                <w:lang w:val="zh-CN"/>
              </w:rPr>
              <w:t>1.进一步加强深圳高新区生物孵化器空间建设，扩大产业服务范围、解决产业发展难点，促进生物医药中小企业的快速发展。</w:t>
            </w:r>
            <w:r>
              <w:rPr>
                <w:lang w:val="zh-CN"/>
              </w:rPr>
              <w:br/>
            </w:r>
            <w:r>
              <w:rPr>
                <w:lang w:val="zh-CN"/>
              </w:rPr>
              <w:t>2.加强对园区的引导。我市现有工业区约7200个，近年来，市工业和信息化局一直坚持从产业空间布局对各区产业发展导向进行规划指导，鼓励“一园一策”，努力为高科技中小企业提供更多更好的发展空间。</w:t>
            </w:r>
            <w:r>
              <w:rPr>
                <w:lang w:val="zh-CN"/>
              </w:rPr>
              <w:br/>
            </w:r>
          </w:p>
        </w:tc>
        <w:tc>
          <w:tcPr>
            <w:tcW w:w="2310" w:type="dxa"/>
          </w:tcPr>
          <w:p/>
        </w:tc>
      </w:tr>
      <w:tr>
        <w:tblPrEx>
          <w:tblW w:w="13368" w:type="dxa"/>
          <w:tblInd w:w="0" w:type="dxa"/>
          <w:tblLayout w:type="fixed"/>
          <w:tblCellMar>
            <w:top w:w="0" w:type="dxa"/>
            <w:left w:w="108" w:type="dxa"/>
            <w:bottom w:w="0" w:type="dxa"/>
            <w:right w:w="108" w:type="dxa"/>
          </w:tblCellMar>
        </w:tblPrEx>
        <w:tc>
          <w:tcPr>
            <w:tcW w:w="2310" w:type="dxa"/>
            <w:vMerge/>
          </w:tcPr>
          <w:p/>
        </w:tc>
        <w:tc>
          <w:tcPr>
            <w:tcW w:w="2310" w:type="dxa"/>
            <w:vMerge/>
          </w:tcPr>
          <w:p/>
        </w:tc>
        <w:tc>
          <w:tcPr>
            <w:tcW w:w="2310" w:type="dxa"/>
            <w:vMerge/>
          </w:tcPr>
          <w:p/>
        </w:tc>
        <w:tc>
          <w:tcPr>
            <w:tcW w:w="2310" w:type="dxa"/>
            <w:vMerge/>
          </w:tcPr>
          <w:p/>
        </w:tc>
        <w:tc>
          <w:tcPr>
            <w:tcW w:w="2310" w:type="dxa"/>
            <w:vMerge/>
          </w:tcPr>
          <w:p/>
        </w:tc>
        <w:tc>
          <w:tcPr>
            <w:tcW w:w="2310" w:type="dxa"/>
          </w:tcPr>
          <w:p>
            <w:r>
              <w:rPr>
                <w:lang w:val="zh-CN"/>
              </w:rPr>
              <w:t>3.建议开放政府引导基金申报机构的范围，灵活设置申报标准。</w:t>
            </w:r>
          </w:p>
        </w:tc>
        <w:tc>
          <w:tcPr>
            <w:tcW w:w="2310" w:type="dxa"/>
          </w:tcPr>
          <w:p/>
        </w:tc>
        <w:tc>
          <w:tcPr>
            <w:tcW w:w="2310" w:type="dxa"/>
          </w:tcPr>
          <w:p/>
        </w:tc>
        <w:tc>
          <w:tcPr>
            <w:tcW w:w="2310" w:type="dxa"/>
          </w:tcPr>
          <w:p/>
        </w:tc>
        <w:tc>
          <w:tcPr>
            <w:tcW w:w="2310" w:type="dxa"/>
          </w:tcPr>
          <w:p>
            <w:r>
              <w:rPr>
                <w:lang w:val="zh-CN"/>
              </w:rPr>
              <w:t>1.2020年财政部印发《关于加强政府投资基金管理提高财政出资效益的通知》（财预〔2020〕7号），明确要求提升政府投资基金使用效能，强化政府预算对财政出资的约束。按照财政部的管理要求，市引导基金进一步加强对基金管理机构的筛选，有效增强参投子基金的投资效率和质量，重点聚焦与市场头部机构开展合作，并将投资重点转向投后管理，充分发挥市场资源配置作用和财政资金引导放大作用，引导社会资本投向创新创业、新兴产业发展等领域，进一步支持科技型中小企业发展。</w:t>
            </w:r>
          </w:p>
        </w:tc>
      </w:tr>
      <w:tr>
        <w:tblPrEx>
          <w:tblW w:w="13368" w:type="dxa"/>
          <w:tblInd w:w="0" w:type="dxa"/>
          <w:tblLayout w:type="fixed"/>
          <w:tblCellMar>
            <w:top w:w="0" w:type="dxa"/>
            <w:left w:w="108" w:type="dxa"/>
            <w:bottom w:w="0" w:type="dxa"/>
            <w:right w:w="108" w:type="dxa"/>
          </w:tblCellMar>
        </w:tblPrEx>
        <w:tc>
          <w:tcPr>
            <w:tcW w:w="2310" w:type="dxa"/>
            <w:vMerge/>
          </w:tcPr>
          <w:p/>
        </w:tc>
        <w:tc>
          <w:tcPr>
            <w:tcW w:w="2310" w:type="dxa"/>
            <w:vMerge/>
          </w:tcPr>
          <w:p/>
        </w:tc>
        <w:tc>
          <w:tcPr>
            <w:tcW w:w="2310" w:type="dxa"/>
            <w:vMerge/>
          </w:tcPr>
          <w:p/>
        </w:tc>
        <w:tc>
          <w:tcPr>
            <w:tcW w:w="2310" w:type="dxa"/>
            <w:vMerge/>
          </w:tcPr>
          <w:p/>
        </w:tc>
        <w:tc>
          <w:tcPr>
            <w:tcW w:w="2310" w:type="dxa"/>
            <w:vMerge/>
          </w:tcPr>
          <w:p/>
        </w:tc>
        <w:tc>
          <w:tcPr>
            <w:tcW w:w="2310" w:type="dxa"/>
          </w:tcPr>
          <w:p>
            <w:r>
              <w:rPr>
                <w:lang w:val="zh-CN"/>
              </w:rPr>
              <w:t>4.建议政府利用应用大数据为中小企业画像，细化企业分类，对企业进行针对性的服务和扶持。</w:t>
            </w:r>
          </w:p>
        </w:tc>
        <w:tc>
          <w:tcPr>
            <w:tcW w:w="2310" w:type="dxa"/>
          </w:tcPr>
          <w:p/>
        </w:tc>
        <w:tc>
          <w:tcPr>
            <w:tcW w:w="2310" w:type="dxa"/>
          </w:tcPr>
          <w:p>
            <w:r>
              <w:rPr>
                <w:lang w:val="zh-CN"/>
              </w:rPr>
              <w:t>1.市工业和信息化局正集中力量开展“深i企”二期建设，平台将聚焦解决全市涉企服务资源分散、企业服务端口不统一、企业找政策如盲人摸象等突出问题，平台将汇聚各涉企部门数据，通过为政策及企业“打标签”的方式，实现企业精准画像及政策的主动、精准推动，并着力打通政策查询、申报、兑现的服务闭环，为企业提供更加便利的办事服务。“深i企”全新版本将于深圳市企业家日，也就是11月1日正式上线。</w:t>
            </w:r>
          </w:p>
        </w:tc>
        <w:tc>
          <w:tcPr>
            <w:tcW w:w="2310" w:type="dxa"/>
          </w:tcPr>
          <w:p/>
        </w:tc>
        <w:tc>
          <w:tcPr>
            <w:tcW w:w="2310" w:type="dxa"/>
          </w:tcPr>
          <w:p/>
        </w:tc>
      </w:tr>
    </w:tbl>
    <w:p/>
    <w:sectPr>
      <w:headerReference w:type="even" r:id="rId5"/>
      <w:headerReference w:type="default" r:id="rId6"/>
      <w:headerReference w:type="first" r:id="rId7"/>
      <w:pgSz w:w="16838" w:h="11906" w:orient="landscape"/>
      <w:pgMar w:top="1800" w:right="1440" w:bottom="1800" w:left="144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width:280pt;height:44pt;margin-top:0;margin-left:0;mso-position-horizontal:center;mso-position-horizontal-relative:page;mso-position-vertical:center;mso-position-vertical-relative:page;position:absolute;rotation:-45;z-index:251660288" fillcolor="#e3e4e6" strokecolor="#f4f5f6">
          <v:textpath style="font-family:'宋体'" string="深圳市工业和信息化局 夏良庆（非）&#10;2021-12-14 10:37:37"/>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280pt;height:44pt;margin-top:0;margin-left:0;mso-position-horizontal:center;mso-position-horizontal-relative:page;mso-position-vertical:center;mso-position-vertical-relative:page;position:absolute;rotation:-45;z-index:251658240" fillcolor="#e3e4e6" strokecolor="#f4f5f6">
          <v:textpath style="font-family:'宋体'" string="深圳市工业和信息化局 夏良庆（非）&#10;2021-12-14 10:37:37"/>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width:280pt;height:44pt;margin-top:0;margin-left:0;mso-position-horizontal:center;mso-position-horizontal-relative:page;mso-position-vertical:center;mso-position-vertical-relative:page;position:absolute;rotation:-45;z-index:251659264" fillcolor="#e3e4e6" strokecolor="#f4f5f6">
          <v:textpath style="font-family:'宋体'" string="深圳市工业和信息化局 夏良庆（非）&#10;2021-12-14 10:37:37"/>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link w:val="a0"/>
    <w:pPr>
      <w:tabs>
        <w:tab w:val="center" w:pos="4153"/>
        <w:tab w:val="right" w:pos="8306"/>
      </w:tabs>
      <w:snapToGrid w:val="0"/>
      <w:jc w:val="left"/>
    </w:pPr>
    <w:rPr>
      <w:sz w:val="18"/>
      <w:szCs w:val="18"/>
    </w:rPr>
  </w:style>
  <w:style w:type="paragraph" w:styleId="Header">
    <w:name w:val="header"/>
    <w:basedOn w:val="Normal"/>
    <w:link w:val="a"/>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页眉 字符"/>
    <w:basedOn w:val="DefaultParagraphFont"/>
    <w:link w:val="Header"/>
    <w:rPr>
      <w:kern w:val="2"/>
      <w:sz w:val="18"/>
      <w:szCs w:val="18"/>
    </w:rPr>
  </w:style>
  <w:style w:type="character" w:customStyle="1" w:styleId="a0">
    <w:name w:val="页脚 字符"/>
    <w:basedOn w:val="DefaultParagraphFont"/>
    <w:link w:val="Footer"/>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Office Word</Application>
  <DocSecurity>0</DocSecurity>
  <Lines>1</Lines>
  <Paragraphs>1</Paragraphs>
  <ScaleCrop>false</ScaleCrop>
  <Company/>
  <LinksUpToDate>false</LinksUpToDate>
  <CharactersWithSpaces>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Super.Ni</cp:lastModifiedBy>
  <cp:revision>2</cp:revision>
  <dcterms:created xsi:type="dcterms:W3CDTF">2014-10-29T12:08:00Z</dcterms:created>
  <dcterms:modified xsi:type="dcterms:W3CDTF">2020-12-13T06:01:44Z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