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0" w:lineRule="exact"/>
        <w:rPr>
          <w:rFonts w:ascii="宋体" w:hAnsi="宋体"/>
          <w:bCs w:val="0"/>
          <w:sz w:val="44"/>
          <w:szCs w:val="44"/>
        </w:rPr>
      </w:pPr>
      <w:r>
        <w:rPr>
          <w:rFonts w:hint="eastAsia" w:ascii="宋体" w:hAnsi="宋体"/>
          <w:bCs w:val="0"/>
          <w:sz w:val="44"/>
          <w:szCs w:val="44"/>
        </w:rPr>
        <w:t>采购招标公告</w:t>
      </w:r>
    </w:p>
    <w:tbl>
      <w:tblPr>
        <w:tblStyle w:val="5"/>
        <w:tblW w:w="878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6"/>
        <w:gridCol w:w="2096"/>
        <w:gridCol w:w="2099"/>
        <w:gridCol w:w="1728"/>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9" w:hRule="atLeast"/>
        </w:trPr>
        <w:tc>
          <w:tcPr>
            <w:tcW w:w="2552" w:type="dxa"/>
            <w:gridSpan w:val="2"/>
          </w:tcPr>
          <w:p>
            <w:pPr>
              <w:rPr>
                <w:rFonts w:ascii="仿宋_GB2312" w:eastAsia="仿宋_GB2312"/>
                <w:color w:val="000000"/>
                <w:sz w:val="24"/>
              </w:rPr>
            </w:pPr>
            <w:r>
              <w:rPr>
                <w:rFonts w:hint="eastAsia" w:ascii="仿宋_GB2312" w:eastAsia="仿宋_GB2312"/>
                <w:color w:val="000000"/>
                <w:sz w:val="24"/>
              </w:rPr>
              <w:t>项目名称</w:t>
            </w:r>
          </w:p>
        </w:tc>
        <w:tc>
          <w:tcPr>
            <w:tcW w:w="2099" w:type="dxa"/>
          </w:tcPr>
          <w:p>
            <w:pPr>
              <w:rPr>
                <w:rFonts w:ascii="仿宋_GB2312" w:eastAsia="仿宋_GB2312"/>
                <w:color w:val="000000"/>
                <w:sz w:val="24"/>
              </w:rPr>
            </w:pPr>
            <w:r>
              <w:rPr>
                <w:rFonts w:hint="eastAsia" w:ascii="仿宋_GB2312" w:eastAsia="仿宋_GB2312"/>
                <w:color w:val="000000"/>
                <w:sz w:val="24"/>
              </w:rPr>
              <w:t>工展馆202</w:t>
            </w:r>
            <w:r>
              <w:rPr>
                <w:rFonts w:hint="eastAsia" w:ascii="仿宋_GB2312" w:eastAsia="仿宋_GB2312"/>
                <w:color w:val="000000"/>
                <w:sz w:val="24"/>
                <w:lang w:val="en-US" w:eastAsia="zh-CN"/>
              </w:rPr>
              <w:t>2</w:t>
            </w:r>
            <w:r>
              <w:rPr>
                <w:rFonts w:hint="eastAsia" w:ascii="仿宋_GB2312" w:eastAsia="仿宋_GB2312"/>
                <w:color w:val="000000"/>
                <w:sz w:val="24"/>
              </w:rPr>
              <w:t>-202</w:t>
            </w:r>
            <w:r>
              <w:rPr>
                <w:rFonts w:hint="eastAsia" w:ascii="仿宋_GB2312" w:eastAsia="仿宋_GB2312"/>
                <w:color w:val="000000"/>
                <w:sz w:val="24"/>
                <w:lang w:val="en-US" w:eastAsia="zh-CN"/>
              </w:rPr>
              <w:t>3</w:t>
            </w:r>
            <w:r>
              <w:rPr>
                <w:rFonts w:hint="eastAsia" w:ascii="仿宋_GB2312" w:eastAsia="仿宋_GB2312"/>
                <w:color w:val="000000"/>
                <w:sz w:val="24"/>
              </w:rPr>
              <w:t>年</w:t>
            </w:r>
            <w:r>
              <w:rPr>
                <w:rFonts w:hint="eastAsia" w:ascii="仿宋_GB2312" w:eastAsia="仿宋_GB2312"/>
                <w:color w:val="000000"/>
                <w:sz w:val="24"/>
                <w:lang w:val="en-US" w:eastAsia="zh-CN"/>
              </w:rPr>
              <w:t>度</w:t>
            </w:r>
            <w:r>
              <w:rPr>
                <w:rFonts w:hint="eastAsia" w:ascii="仿宋_GB2312" w:eastAsia="仿宋_GB2312"/>
                <w:color w:val="000000"/>
                <w:sz w:val="24"/>
              </w:rPr>
              <w:t>电脑软硬件技术维护</w:t>
            </w:r>
          </w:p>
        </w:tc>
        <w:tc>
          <w:tcPr>
            <w:tcW w:w="1728" w:type="dxa"/>
          </w:tcPr>
          <w:p>
            <w:pPr>
              <w:jc w:val="center"/>
              <w:rPr>
                <w:rFonts w:ascii="仿宋_GB2312" w:eastAsia="仿宋_GB2312"/>
                <w:color w:val="000000"/>
                <w:sz w:val="24"/>
              </w:rPr>
            </w:pPr>
            <w:r>
              <w:rPr>
                <w:rFonts w:ascii="仿宋_GB2312" w:eastAsia="仿宋_GB2312"/>
                <w:color w:val="000000"/>
                <w:sz w:val="24"/>
              </w:rPr>
              <w:t>采购类型</w:t>
            </w:r>
          </w:p>
        </w:tc>
        <w:tc>
          <w:tcPr>
            <w:tcW w:w="2410" w:type="dxa"/>
          </w:tcPr>
          <w:p>
            <w:pPr>
              <w:rPr>
                <w:rFonts w:ascii="仿宋_GB2312" w:eastAsia="仿宋_GB2312"/>
                <w:color w:val="000000"/>
                <w:sz w:val="24"/>
              </w:rPr>
            </w:pPr>
            <w:r>
              <w:rPr>
                <w:rFonts w:hint="eastAsia" w:ascii="仿宋_GB2312" w:eastAsia="仿宋_GB2312"/>
                <w:color w:val="000000"/>
                <w:sz w:val="24"/>
              </w:rPr>
              <w:t>政府集中采购□</w:t>
            </w:r>
          </w:p>
          <w:p>
            <w:pPr>
              <w:rPr>
                <w:rFonts w:ascii="仿宋_GB2312" w:eastAsia="仿宋_GB2312"/>
                <w:color w:val="000000"/>
                <w:sz w:val="24"/>
              </w:rPr>
            </w:pPr>
            <w:r>
              <w:rPr>
                <w:rFonts w:hint="eastAsia" w:ascii="仿宋_GB2312" w:eastAsia="仿宋_GB2312"/>
                <w:color w:val="000000"/>
                <w:sz w:val="24"/>
              </w:rPr>
              <w:t>自行采购</w:t>
            </w:r>
            <w:r>
              <w:rPr>
                <w:rFonts w:hint="eastAsia" w:ascii="仿宋_GB2312" w:eastAsia="仿宋_GB2312"/>
                <w:color w:val="000000"/>
                <w:sz w:val="24"/>
              </w:rPr>
              <w:sym w:font="Wingdings 2" w:char="0052"/>
            </w:r>
          </w:p>
          <w:p>
            <w:pPr>
              <w:rPr>
                <w:rFonts w:ascii="仿宋_GB2312" w:eastAsia="仿宋_GB2312"/>
                <w:color w:val="000000"/>
                <w:sz w:val="24"/>
              </w:rPr>
            </w:pPr>
            <w:r>
              <w:rPr>
                <w:rFonts w:hint="eastAsia" w:ascii="仿宋_GB2312" w:eastAsia="仿宋_GB2312"/>
                <w:color w:val="000000"/>
                <w:sz w:val="24"/>
              </w:rPr>
              <w:t>本栏单选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552" w:type="dxa"/>
            <w:gridSpan w:val="2"/>
          </w:tcPr>
          <w:p>
            <w:pPr>
              <w:rPr>
                <w:rFonts w:ascii="仿宋_GB2312" w:eastAsia="仿宋_GB2312"/>
                <w:color w:val="000000"/>
                <w:sz w:val="24"/>
              </w:rPr>
            </w:pPr>
            <w:r>
              <w:rPr>
                <w:rFonts w:hint="eastAsia" w:ascii="仿宋_GB2312" w:eastAsia="仿宋_GB2312"/>
                <w:color w:val="000000"/>
                <w:sz w:val="24"/>
              </w:rPr>
              <w:t>采购单位</w:t>
            </w:r>
          </w:p>
        </w:tc>
        <w:tc>
          <w:tcPr>
            <w:tcW w:w="2099" w:type="dxa"/>
          </w:tcPr>
          <w:p>
            <w:pPr>
              <w:rPr>
                <w:rFonts w:ascii="仿宋_GB2312" w:eastAsia="仿宋_GB2312"/>
                <w:color w:val="000000"/>
                <w:sz w:val="24"/>
              </w:rPr>
            </w:pPr>
            <w:r>
              <w:rPr>
                <w:rFonts w:hint="eastAsia" w:ascii="仿宋_GB2312" w:eastAsia="仿宋_GB2312"/>
                <w:color w:val="000000"/>
                <w:sz w:val="24"/>
              </w:rPr>
              <w:t>深圳市工业展览馆</w:t>
            </w:r>
          </w:p>
        </w:tc>
        <w:tc>
          <w:tcPr>
            <w:tcW w:w="1728" w:type="dxa"/>
            <w:vMerge w:val="restart"/>
          </w:tcPr>
          <w:p>
            <w:pPr>
              <w:jc w:val="center"/>
              <w:rPr>
                <w:rFonts w:ascii="仿宋_GB2312" w:eastAsia="仿宋_GB2312"/>
                <w:color w:val="000000"/>
                <w:sz w:val="24"/>
              </w:rPr>
            </w:pPr>
            <w:r>
              <w:rPr>
                <w:rFonts w:ascii="仿宋_GB2312" w:eastAsia="仿宋_GB2312"/>
                <w:color w:val="000000"/>
                <w:sz w:val="24"/>
              </w:rPr>
              <w:t>采购方式</w:t>
            </w:r>
          </w:p>
        </w:tc>
        <w:tc>
          <w:tcPr>
            <w:tcW w:w="2410" w:type="dxa"/>
            <w:vMerge w:val="restart"/>
          </w:tcPr>
          <w:p>
            <w:pPr>
              <w:rPr>
                <w:rFonts w:ascii="仿宋_GB2312" w:eastAsia="仿宋_GB2312"/>
                <w:color w:val="000000"/>
                <w:sz w:val="24"/>
              </w:rPr>
            </w:pPr>
            <w:r>
              <w:rPr>
                <w:rFonts w:hint="eastAsia" w:ascii="仿宋_GB2312" w:eastAsia="仿宋_GB2312"/>
                <w:color w:val="000000"/>
                <w:sz w:val="24"/>
              </w:rPr>
              <w:t>公开招标</w:t>
            </w:r>
            <w:r>
              <w:rPr>
                <w:rFonts w:hint="eastAsia" w:ascii="仿宋_GB2312" w:eastAsia="仿宋_GB2312"/>
                <w:color w:val="000000"/>
                <w:sz w:val="24"/>
              </w:rPr>
              <w:sym w:font="Wingdings 2" w:char="0052"/>
            </w:r>
          </w:p>
          <w:p>
            <w:pPr>
              <w:rPr>
                <w:rFonts w:ascii="仿宋_GB2312" w:eastAsia="仿宋_GB2312"/>
                <w:color w:val="000000"/>
                <w:sz w:val="24"/>
              </w:rPr>
            </w:pPr>
            <w:r>
              <w:rPr>
                <w:rFonts w:hint="eastAsia" w:ascii="仿宋_GB2312" w:eastAsia="仿宋_GB2312"/>
                <w:color w:val="000000"/>
                <w:sz w:val="24"/>
              </w:rPr>
              <w:t>竟争性谈判□</w:t>
            </w:r>
          </w:p>
          <w:p>
            <w:pPr>
              <w:rPr>
                <w:rFonts w:ascii="仿宋_GB2312" w:eastAsia="仿宋_GB2312"/>
                <w:color w:val="000000"/>
                <w:sz w:val="24"/>
              </w:rPr>
            </w:pPr>
            <w:r>
              <w:rPr>
                <w:rFonts w:hint="eastAsia" w:ascii="仿宋_GB2312" w:eastAsia="仿宋_GB2312"/>
                <w:color w:val="000000"/>
                <w:sz w:val="24"/>
              </w:rPr>
              <w:t xml:space="preserve">单一来源□       </w:t>
            </w:r>
          </w:p>
          <w:p>
            <w:pPr>
              <w:rPr>
                <w:rFonts w:ascii="仿宋_GB2312" w:eastAsia="仿宋_GB2312"/>
                <w:color w:val="000000"/>
                <w:sz w:val="24"/>
              </w:rPr>
            </w:pPr>
            <w:r>
              <w:rPr>
                <w:rFonts w:hint="eastAsia" w:ascii="仿宋_GB2312" w:eastAsia="仿宋_GB2312"/>
                <w:color w:val="000000"/>
                <w:sz w:val="24"/>
              </w:rPr>
              <w:t>竟价□</w:t>
            </w:r>
          </w:p>
          <w:p>
            <w:pPr>
              <w:rPr>
                <w:rFonts w:ascii="仿宋_GB2312" w:eastAsia="仿宋_GB2312"/>
                <w:color w:val="000000"/>
                <w:sz w:val="24"/>
              </w:rPr>
            </w:pPr>
            <w:r>
              <w:rPr>
                <w:rFonts w:hint="eastAsia" w:ascii="仿宋_GB2312" w:eastAsia="仿宋_GB2312"/>
                <w:color w:val="000000"/>
                <w:sz w:val="24"/>
              </w:rPr>
              <w:t>本栏单选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rPr>
        <w:tc>
          <w:tcPr>
            <w:tcW w:w="2552" w:type="dxa"/>
            <w:gridSpan w:val="2"/>
          </w:tcPr>
          <w:p>
            <w:pPr>
              <w:rPr>
                <w:rFonts w:ascii="仿宋_GB2312" w:eastAsia="仿宋_GB2312"/>
                <w:color w:val="000000"/>
                <w:sz w:val="24"/>
              </w:rPr>
            </w:pPr>
            <w:r>
              <w:rPr>
                <w:rFonts w:hint="eastAsia" w:ascii="仿宋_GB2312" w:eastAsia="仿宋_GB2312"/>
                <w:color w:val="000000"/>
                <w:sz w:val="24"/>
              </w:rPr>
              <w:t>财政采购预算限额（元）</w:t>
            </w:r>
          </w:p>
        </w:tc>
        <w:tc>
          <w:tcPr>
            <w:tcW w:w="2099" w:type="dxa"/>
            <w:vAlign w:val="center"/>
          </w:tcPr>
          <w:p>
            <w:pPr>
              <w:jc w:val="center"/>
              <w:rPr>
                <w:rFonts w:ascii="仿宋_GB2312" w:eastAsia="仿宋_GB2312"/>
                <w:color w:val="000000"/>
                <w:sz w:val="24"/>
              </w:rPr>
            </w:pPr>
            <w:r>
              <w:rPr>
                <w:rFonts w:hint="eastAsia" w:ascii="仿宋_GB2312" w:eastAsia="仿宋_GB2312"/>
                <w:color w:val="000000"/>
                <w:sz w:val="24"/>
              </w:rPr>
              <w:t>40000</w:t>
            </w:r>
          </w:p>
        </w:tc>
        <w:tc>
          <w:tcPr>
            <w:tcW w:w="1728" w:type="dxa"/>
            <w:vMerge w:val="continue"/>
          </w:tcPr>
          <w:p>
            <w:pPr>
              <w:rPr>
                <w:rFonts w:ascii="仿宋_GB2312" w:eastAsia="仿宋_GB2312"/>
                <w:color w:val="000000"/>
                <w:sz w:val="24"/>
              </w:rPr>
            </w:pPr>
          </w:p>
        </w:tc>
        <w:tc>
          <w:tcPr>
            <w:tcW w:w="2410" w:type="dxa"/>
            <w:vMerge w:val="continue"/>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2552" w:type="dxa"/>
            <w:gridSpan w:val="2"/>
            <w:vAlign w:val="center"/>
          </w:tcPr>
          <w:p>
            <w:pPr>
              <w:jc w:val="center"/>
              <w:rPr>
                <w:rFonts w:ascii="仿宋_GB2312" w:eastAsia="仿宋_GB2312"/>
                <w:color w:val="000000"/>
                <w:sz w:val="24"/>
              </w:rPr>
            </w:pPr>
            <w:r>
              <w:rPr>
                <w:rFonts w:hint="eastAsia" w:ascii="仿宋_GB2312" w:eastAsia="仿宋_GB2312"/>
                <w:color w:val="000000"/>
                <w:sz w:val="24"/>
              </w:rPr>
              <w:t>采购编号</w:t>
            </w:r>
          </w:p>
        </w:tc>
        <w:tc>
          <w:tcPr>
            <w:tcW w:w="2099" w:type="dxa"/>
            <w:vAlign w:val="center"/>
          </w:tcPr>
          <w:p>
            <w:pPr>
              <w:jc w:val="center"/>
              <w:rPr>
                <w:rFonts w:ascii="仿宋_GB2312" w:eastAsia="仿宋_GB2312"/>
                <w:color w:val="000000"/>
                <w:sz w:val="24"/>
              </w:rPr>
            </w:pPr>
            <w:r>
              <w:rPr>
                <w:rFonts w:hint="eastAsia" w:ascii="仿宋_GB2312" w:eastAsia="仿宋_GB2312"/>
                <w:color w:val="000000"/>
                <w:sz w:val="24"/>
              </w:rPr>
              <w:t>无</w:t>
            </w:r>
          </w:p>
        </w:tc>
        <w:tc>
          <w:tcPr>
            <w:tcW w:w="1728" w:type="dxa"/>
          </w:tcPr>
          <w:p>
            <w:pPr>
              <w:jc w:val="center"/>
              <w:rPr>
                <w:rFonts w:ascii="仿宋_GB2312" w:eastAsia="仿宋_GB2312"/>
                <w:color w:val="000000"/>
                <w:sz w:val="24"/>
              </w:rPr>
            </w:pPr>
            <w:r>
              <w:rPr>
                <w:rFonts w:hint="eastAsia" w:ascii="仿宋_GB2312" w:eastAsia="仿宋_GB2312"/>
                <w:color w:val="000000"/>
                <w:sz w:val="24"/>
              </w:rPr>
              <w:t>招标起始日期</w:t>
            </w:r>
          </w:p>
        </w:tc>
        <w:tc>
          <w:tcPr>
            <w:tcW w:w="2410" w:type="dxa"/>
          </w:tcPr>
          <w:p>
            <w:pPr>
              <w:rPr>
                <w:rFonts w:ascii="仿宋_GB2312" w:eastAsia="仿宋_GB2312"/>
                <w:color w:val="000000"/>
                <w:sz w:val="24"/>
              </w:rPr>
            </w:pPr>
            <w:r>
              <w:rPr>
                <w:rFonts w:hint="eastAsia" w:ascii="仿宋_GB2312" w:eastAsia="仿宋_GB2312"/>
                <w:color w:val="000000"/>
                <w:sz w:val="24"/>
              </w:rPr>
              <w:t>202</w:t>
            </w:r>
            <w:r>
              <w:rPr>
                <w:rFonts w:hint="eastAsia" w:ascii="仿宋_GB2312" w:eastAsia="仿宋_GB2312"/>
                <w:color w:val="000000"/>
                <w:sz w:val="24"/>
                <w:lang w:val="en-US" w:eastAsia="zh-CN"/>
              </w:rPr>
              <w:t>2</w:t>
            </w:r>
            <w:r>
              <w:rPr>
                <w:rFonts w:hint="eastAsia" w:ascii="仿宋_GB2312" w:eastAsia="仿宋_GB2312"/>
                <w:color w:val="000000"/>
                <w:sz w:val="24"/>
              </w:rPr>
              <w:t>年4月</w:t>
            </w:r>
            <w:r>
              <w:rPr>
                <w:rFonts w:hint="eastAsia" w:ascii="仿宋_GB2312" w:eastAsia="仿宋_GB2312"/>
                <w:color w:val="000000"/>
                <w:sz w:val="24"/>
                <w:lang w:val="en-US" w:eastAsia="zh-CN"/>
              </w:rPr>
              <w:t>21</w:t>
            </w:r>
            <w:r>
              <w:rPr>
                <w:rFonts w:hint="eastAsia" w:ascii="仿宋_GB2312" w:eastAsia="仿宋_GB2312"/>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rPr>
        <w:tc>
          <w:tcPr>
            <w:tcW w:w="2552" w:type="dxa"/>
            <w:gridSpan w:val="2"/>
            <w:vAlign w:val="center"/>
          </w:tcPr>
          <w:p>
            <w:pPr>
              <w:jc w:val="center"/>
              <w:rPr>
                <w:rFonts w:ascii="仿宋_GB2312" w:eastAsia="仿宋_GB2312"/>
                <w:color w:val="000000"/>
                <w:sz w:val="24"/>
              </w:rPr>
            </w:pPr>
            <w:r>
              <w:rPr>
                <w:rFonts w:hint="eastAsia" w:ascii="仿宋_GB2312" w:eastAsia="仿宋_GB2312"/>
                <w:color w:val="000000"/>
                <w:sz w:val="24"/>
              </w:rPr>
              <w:t>招标公告正文</w:t>
            </w:r>
          </w:p>
        </w:tc>
        <w:tc>
          <w:tcPr>
            <w:tcW w:w="6237" w:type="dxa"/>
            <w:gridSpan w:val="3"/>
            <w:vAlign w:val="center"/>
          </w:tcPr>
          <w:p>
            <w:pPr>
              <w:jc w:val="center"/>
              <w:rPr>
                <w:rFonts w:ascii="仿宋_GB2312" w:eastAsia="仿宋_GB2312"/>
                <w:color w:val="000000"/>
                <w:sz w:val="24"/>
              </w:rPr>
            </w:pPr>
            <w:r>
              <w:rPr>
                <w:rFonts w:hint="eastAsia" w:ascii="仿宋_GB2312" w:eastAsia="仿宋_GB2312"/>
                <w:color w:val="000000"/>
                <w:sz w:val="24"/>
              </w:rPr>
              <w:t>详见具体</w:t>
            </w:r>
            <w:r>
              <w:rPr>
                <w:rFonts w:ascii="仿宋_GB2312" w:eastAsia="仿宋_GB2312"/>
                <w:color w:val="000000"/>
                <w:sz w:val="24"/>
              </w:rPr>
              <w:t>技术要求内容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3" w:hRule="atLeast"/>
        </w:trPr>
        <w:tc>
          <w:tcPr>
            <w:tcW w:w="2552" w:type="dxa"/>
            <w:gridSpan w:val="2"/>
            <w:vAlign w:val="center"/>
          </w:tcPr>
          <w:p>
            <w:pPr>
              <w:jc w:val="center"/>
              <w:rPr>
                <w:rFonts w:ascii="仿宋_GB2312" w:eastAsia="仿宋_GB2312"/>
                <w:color w:val="000000"/>
                <w:sz w:val="24"/>
              </w:rPr>
            </w:pPr>
          </w:p>
          <w:p>
            <w:pPr>
              <w:jc w:val="center"/>
              <w:rPr>
                <w:rFonts w:ascii="仿宋_GB2312" w:eastAsia="仿宋_GB2312"/>
                <w:color w:val="000000"/>
                <w:sz w:val="24"/>
              </w:rPr>
            </w:pPr>
            <w:r>
              <w:rPr>
                <w:rFonts w:hint="eastAsia" w:ascii="仿宋_GB2312" w:eastAsia="仿宋_GB2312"/>
                <w:color w:val="000000"/>
                <w:sz w:val="24"/>
              </w:rPr>
              <w:t>项目背景(或概况)</w:t>
            </w:r>
          </w:p>
        </w:tc>
        <w:tc>
          <w:tcPr>
            <w:tcW w:w="6237" w:type="dxa"/>
            <w:gridSpan w:val="3"/>
            <w:vAlign w:val="center"/>
          </w:tcPr>
          <w:p>
            <w:pPr>
              <w:jc w:val="both"/>
              <w:rPr>
                <w:rFonts w:hint="default" w:ascii="仿宋_GB2312" w:eastAsia="仿宋_GB2312"/>
                <w:color w:val="000000"/>
                <w:sz w:val="24"/>
                <w:lang w:val="en-US" w:eastAsia="zh-CN"/>
              </w:rPr>
            </w:pPr>
            <w:r>
              <w:rPr>
                <w:rFonts w:hint="eastAsia" w:ascii="仿宋_GB2312" w:eastAsia="仿宋_GB2312"/>
                <w:color w:val="000000"/>
                <w:sz w:val="24"/>
              </w:rPr>
              <w:t>深圳市工业展览馆10楼办公区</w:t>
            </w:r>
            <w:r>
              <w:rPr>
                <w:rFonts w:hint="eastAsia" w:ascii="仿宋_GB2312" w:eastAsia="仿宋_GB2312"/>
                <w:color w:val="000000"/>
                <w:sz w:val="24"/>
                <w:lang w:val="en-US" w:eastAsia="zh-CN"/>
              </w:rPr>
              <w:t>电脑软硬件维护，以保障正常办公。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4" w:hRule="atLeast"/>
        </w:trPr>
        <w:tc>
          <w:tcPr>
            <w:tcW w:w="456" w:type="dxa"/>
            <w:vAlign w:val="center"/>
          </w:tcPr>
          <w:p>
            <w:pPr>
              <w:jc w:val="center"/>
              <w:rPr>
                <w:rFonts w:ascii="仿宋_GB2312" w:eastAsia="仿宋_GB2312"/>
                <w:color w:val="000000"/>
                <w:sz w:val="24"/>
              </w:rPr>
            </w:pPr>
            <w:r>
              <w:rPr>
                <w:rFonts w:hint="eastAsia" w:ascii="仿宋_GB2312" w:eastAsia="仿宋_GB2312"/>
                <w:color w:val="000000"/>
                <w:sz w:val="24"/>
              </w:rPr>
              <w:t>投标人资质要求</w:t>
            </w:r>
          </w:p>
        </w:tc>
        <w:tc>
          <w:tcPr>
            <w:tcW w:w="8333" w:type="dxa"/>
            <w:gridSpan w:val="4"/>
          </w:tcPr>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1.具有独立承担民事责任的能力；</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2.具有良好的商业信誉和健全的财务会计制度；</w:t>
            </w:r>
          </w:p>
          <w:p>
            <w:pPr>
              <w:spacing w:line="440" w:lineRule="exact"/>
              <w:ind w:firstLine="240" w:firstLineChars="100"/>
              <w:rPr>
                <w:rFonts w:hint="eastAsia" w:ascii="仿宋_GB2312" w:eastAsia="仿宋_GB2312"/>
                <w:color w:val="000000"/>
                <w:sz w:val="24"/>
              </w:rPr>
            </w:pPr>
            <w:r>
              <w:rPr>
                <w:rFonts w:hint="eastAsia" w:ascii="仿宋_GB2312" w:eastAsia="仿宋_GB2312"/>
                <w:color w:val="000000"/>
                <w:sz w:val="24"/>
              </w:rPr>
              <w:t>3.具有履行合同所必需的设备和专业技术能力,</w:t>
            </w:r>
            <w:r>
              <w:rPr>
                <w:rFonts w:hint="eastAsia" w:ascii="宋体" w:hAnsi="宋体" w:cs="宋体"/>
                <w:sz w:val="22"/>
                <w:szCs w:val="22"/>
              </w:rPr>
              <w:t xml:space="preserve"> 能</w:t>
            </w:r>
            <w:r>
              <w:rPr>
                <w:rFonts w:hint="eastAsia" w:ascii="仿宋_GB2312" w:eastAsia="仿宋_GB2312"/>
                <w:color w:val="000000"/>
                <w:sz w:val="24"/>
              </w:rPr>
              <w:t>提供近三年在市民中心区域服务的同类业绩；服务人员参加过军工保密资格审查认证中心的相关培训并取得过证书。</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4.具有依法缴纳税收和社会保障资金的良好记录；</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5.参加采购活动前三年内，在经营活动中没有重大的违法行为；</w:t>
            </w:r>
          </w:p>
          <w:p>
            <w:pPr>
              <w:spacing w:line="440" w:lineRule="exact"/>
              <w:ind w:firstLine="240" w:firstLineChars="100"/>
              <w:rPr>
                <w:rFonts w:hint="eastAsia" w:ascii="仿宋_GB2312" w:eastAsia="仿宋_GB2312"/>
                <w:color w:val="000000"/>
                <w:sz w:val="24"/>
              </w:rPr>
            </w:pPr>
            <w:r>
              <w:rPr>
                <w:rFonts w:hint="eastAsia" w:ascii="仿宋_GB2312" w:eastAsia="仿宋_GB2312"/>
                <w:color w:val="000000"/>
                <w:sz w:val="24"/>
              </w:rPr>
              <w:t>6.法律法规的其他条件。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89" w:hRule="atLeast"/>
        </w:trPr>
        <w:tc>
          <w:tcPr>
            <w:tcW w:w="456" w:type="dxa"/>
          </w:tcPr>
          <w:p>
            <w:pPr>
              <w:jc w:val="center"/>
              <w:rPr>
                <w:rFonts w:ascii="仿宋_GB2312" w:eastAsia="仿宋_GB2312"/>
                <w:color w:val="000000"/>
                <w:sz w:val="24"/>
              </w:rPr>
            </w:pPr>
            <w:r>
              <w:rPr>
                <w:rFonts w:hint="eastAsia" w:ascii="仿宋_GB2312" w:eastAsia="仿宋_GB2312"/>
                <w:color w:val="000000"/>
                <w:sz w:val="24"/>
              </w:rPr>
              <w:t>具体技术要求</w:t>
            </w:r>
          </w:p>
        </w:tc>
        <w:tc>
          <w:tcPr>
            <w:tcW w:w="8333" w:type="dxa"/>
            <w:gridSpan w:val="4"/>
          </w:tcPr>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1、各类硬件、网络设备维护。</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2、内网与外网核心操作系统日常维护和优化。</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3、网络安全日常维护。</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4、防火墙设备维护和优化。</w:t>
            </w:r>
          </w:p>
          <w:p>
            <w:pPr>
              <w:spacing w:line="440" w:lineRule="exact"/>
              <w:ind w:firstLine="240" w:firstLineChars="100"/>
              <w:rPr>
                <w:rFonts w:hint="eastAsia" w:ascii="仿宋_GB2312" w:eastAsia="仿宋_GB2312"/>
                <w:color w:val="000000"/>
                <w:sz w:val="24"/>
              </w:rPr>
            </w:pPr>
            <w:r>
              <w:rPr>
                <w:rFonts w:hint="eastAsia" w:ascii="仿宋_GB2312" w:eastAsia="仿宋_GB2312"/>
                <w:color w:val="000000"/>
                <w:sz w:val="24"/>
              </w:rPr>
              <w:t>5、HA双机热备系统维护和优化。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trPr>
        <w:tc>
          <w:tcPr>
            <w:tcW w:w="456" w:type="dxa"/>
          </w:tcPr>
          <w:p>
            <w:pPr>
              <w:jc w:val="center"/>
              <w:rPr>
                <w:rFonts w:ascii="仿宋_GB2312" w:eastAsia="仿宋_GB2312"/>
                <w:color w:val="000000"/>
                <w:sz w:val="24"/>
              </w:rPr>
            </w:pPr>
            <w:r>
              <w:rPr>
                <w:rFonts w:hint="eastAsia" w:ascii="仿宋_GB2312" w:eastAsia="仿宋_GB2312"/>
                <w:color w:val="000000"/>
                <w:sz w:val="24"/>
              </w:rPr>
              <w:t>采购需求</w:t>
            </w:r>
          </w:p>
        </w:tc>
        <w:tc>
          <w:tcPr>
            <w:tcW w:w="8333" w:type="dxa"/>
            <w:gridSpan w:val="4"/>
          </w:tcPr>
          <w:tbl>
            <w:tblPr>
              <w:tblStyle w:val="5"/>
              <w:tblW w:w="8220" w:type="dxa"/>
              <w:tblInd w:w="0" w:type="dxa"/>
              <w:tblLayout w:type="fixed"/>
              <w:tblCellMar>
                <w:top w:w="15" w:type="dxa"/>
                <w:left w:w="15" w:type="dxa"/>
                <w:bottom w:w="15" w:type="dxa"/>
                <w:right w:w="15" w:type="dxa"/>
              </w:tblCellMar>
            </w:tblPr>
            <w:tblGrid>
              <w:gridCol w:w="2550"/>
              <w:gridCol w:w="2410"/>
              <w:gridCol w:w="992"/>
              <w:gridCol w:w="709"/>
              <w:gridCol w:w="1559"/>
            </w:tblGrid>
            <w:tr>
              <w:tblPrEx>
                <w:tblLayout w:type="fixed"/>
                <w:tblCellMar>
                  <w:top w:w="15" w:type="dxa"/>
                  <w:left w:w="15" w:type="dxa"/>
                  <w:bottom w:w="15" w:type="dxa"/>
                  <w:right w:w="15" w:type="dxa"/>
                </w:tblCellMar>
              </w:tblPrEx>
              <w:trPr>
                <w:trHeight w:val="90" w:hRule="atLeast"/>
              </w:trPr>
              <w:tc>
                <w:tcPr>
                  <w:tcW w:w="25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bookmarkStart w:id="0" w:name="_Hlk534278351"/>
                  <w:r>
                    <w:rPr>
                      <w:rFonts w:hint="eastAsia" w:ascii="宋体" w:hAnsi="宋体" w:cs="宋体"/>
                      <w:b/>
                      <w:color w:val="000000"/>
                      <w:kern w:val="0"/>
                      <w:sz w:val="20"/>
                      <w:szCs w:val="20"/>
                    </w:rPr>
                    <w:t>技术要求</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服务内容</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单位</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数量</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0"/>
                      <w:szCs w:val="20"/>
                    </w:rPr>
                  </w:pPr>
                  <w:r>
                    <w:rPr>
                      <w:rFonts w:hint="eastAsia" w:ascii="宋体" w:hAnsi="宋体" w:cs="宋体"/>
                      <w:b/>
                      <w:color w:val="000000"/>
                      <w:kern w:val="0"/>
                      <w:sz w:val="20"/>
                      <w:szCs w:val="20"/>
                    </w:rPr>
                    <w:t>备注</w:t>
                  </w:r>
                </w:p>
              </w:tc>
            </w:tr>
            <w:tr>
              <w:tblPrEx>
                <w:tblLayout w:type="fixed"/>
                <w:tblCellMar>
                  <w:top w:w="15" w:type="dxa"/>
                  <w:left w:w="15" w:type="dxa"/>
                  <w:bottom w:w="15" w:type="dxa"/>
                  <w:right w:w="15" w:type="dxa"/>
                </w:tblCellMar>
              </w:tblPrEx>
              <w:trPr>
                <w:trHeight w:val="824" w:hRule="atLeast"/>
              </w:trPr>
              <w:tc>
                <w:tcPr>
                  <w:tcW w:w="25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22"/>
                      <w:szCs w:val="22"/>
                    </w:rPr>
                  </w:pPr>
                  <w:r>
                    <w:rPr>
                      <w:rFonts w:hint="eastAsia" w:ascii="仿宋_GB2312" w:eastAsia="仿宋_GB2312"/>
                      <w:color w:val="000000"/>
                      <w:sz w:val="24"/>
                    </w:rPr>
                    <w:t>各类硬件、网络设备维护</w:t>
                  </w:r>
                </w:p>
              </w:tc>
              <w:tc>
                <w:tcPr>
                  <w:tcW w:w="241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hint="eastAsia" w:ascii="仿宋_GB2312" w:eastAsia="仿宋_GB2312"/>
                      <w:color w:val="000000"/>
                      <w:sz w:val="24"/>
                    </w:rPr>
                    <w:t>服务器、PC机、隔离卡、交换机、线路选择器、打印机的设备维护及故障检测。</w:t>
                  </w:r>
                </w:p>
              </w:tc>
              <w:tc>
                <w:tcPr>
                  <w:tcW w:w="9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项</w:t>
                  </w:r>
                </w:p>
              </w:tc>
              <w:tc>
                <w:tcPr>
                  <w:tcW w:w="70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仿宋_GB2312" w:eastAsia="仿宋_GB2312"/>
                      <w:color w:val="000000"/>
                      <w:sz w:val="24"/>
                    </w:rPr>
                    <w:t>一个工作日内回复</w:t>
                  </w:r>
                </w:p>
              </w:tc>
            </w:tr>
            <w:tr>
              <w:tblPrEx>
                <w:tblLayout w:type="fixed"/>
                <w:tblCellMar>
                  <w:top w:w="15" w:type="dxa"/>
                  <w:left w:w="15" w:type="dxa"/>
                  <w:bottom w:w="15" w:type="dxa"/>
                  <w:right w:w="15" w:type="dxa"/>
                </w:tblCellMar>
              </w:tblPrEx>
              <w:trPr>
                <w:trHeight w:val="1101" w:hRule="atLeast"/>
              </w:trPr>
              <w:tc>
                <w:tcPr>
                  <w:tcW w:w="255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ascii="宋体" w:hAnsi="宋体" w:cs="宋体"/>
                      <w:color w:val="000000"/>
                      <w:sz w:val="22"/>
                      <w:szCs w:val="22"/>
                    </w:rPr>
                  </w:pPr>
                </w:p>
              </w:tc>
              <w:tc>
                <w:tcPr>
                  <w:tcW w:w="2410"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ascii="宋体" w:hAnsi="宋体" w:cs="宋体"/>
                      <w:sz w:val="22"/>
                      <w:szCs w:val="22"/>
                    </w:rPr>
                  </w:pPr>
                  <w:r>
                    <w:rPr>
                      <w:rFonts w:hint="eastAsia" w:ascii="仿宋_GB2312" w:eastAsia="仿宋_GB2312"/>
                      <w:color w:val="000000"/>
                      <w:sz w:val="24"/>
                    </w:rPr>
                    <w:t>日常使用保障，负责硬件设备的检查和送修。</w:t>
                  </w:r>
                </w:p>
              </w:tc>
              <w:tc>
                <w:tcPr>
                  <w:tcW w:w="992"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项</w:t>
                  </w:r>
                </w:p>
              </w:tc>
              <w:tc>
                <w:tcPr>
                  <w:tcW w:w="709" w:type="dxa"/>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仿宋_GB2312" w:eastAsia="仿宋_GB2312"/>
                      <w:color w:val="000000"/>
                      <w:sz w:val="24"/>
                    </w:rPr>
                    <w:t>一个工作日内回复</w:t>
                  </w:r>
                </w:p>
              </w:tc>
            </w:tr>
            <w:tr>
              <w:tblPrEx>
                <w:tblLayout w:type="fixed"/>
                <w:tblCellMar>
                  <w:top w:w="15" w:type="dxa"/>
                  <w:left w:w="15" w:type="dxa"/>
                  <w:bottom w:w="15" w:type="dxa"/>
                  <w:right w:w="15" w:type="dxa"/>
                </w:tblCellMar>
              </w:tblPrEx>
              <w:trPr>
                <w:trHeight w:val="1913" w:hRule="atLeast"/>
              </w:trPr>
              <w:tc>
                <w:tcPr>
                  <w:tcW w:w="25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仿宋_GB2312" w:eastAsia="仿宋_GB2312"/>
                      <w:color w:val="000000"/>
                      <w:sz w:val="24"/>
                    </w:rPr>
                    <w:t>内网与外网核心操作系统日常维护和优化</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 w:val="22"/>
                      <w:szCs w:val="22"/>
                    </w:rPr>
                  </w:pPr>
                  <w:r>
                    <w:rPr>
                      <w:rFonts w:hint="eastAsia" w:ascii="仿宋_GB2312" w:eastAsia="仿宋_GB2312"/>
                      <w:color w:val="000000"/>
                      <w:sz w:val="24"/>
                    </w:rPr>
                    <w:t>核心操作系统的安装、维护、优化、每月漏洞检查、网络版杀毒软件的布署、病毒清除和数据恢复、每月定期安装系统补丁，提供安全加固建议和优化，提交服务器系统检查报告。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kern w:val="0"/>
                      <w:sz w:val="22"/>
                      <w:szCs w:val="22"/>
                    </w:rPr>
                    <w:t>项</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2"/>
                      <w:szCs w:val="22"/>
                    </w:rPr>
                  </w:pPr>
                  <w:r>
                    <w:rPr>
                      <w:rFonts w:hint="eastAsia" w:ascii="宋体" w:hAnsi="宋体" w:cs="宋体"/>
                      <w:sz w:val="22"/>
                      <w:szCs w:val="22"/>
                    </w:rPr>
                    <w:t>1</w:t>
                  </w:r>
                </w:p>
              </w:tc>
              <w:tc>
                <w:tcPr>
                  <w:tcW w:w="1559"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sz w:val="22"/>
                      <w:szCs w:val="22"/>
                    </w:rPr>
                  </w:pPr>
                  <w:r>
                    <w:rPr>
                      <w:rFonts w:hint="eastAsia" w:ascii="仿宋_GB2312" w:eastAsia="仿宋_GB2312"/>
                      <w:color w:val="000000"/>
                      <w:sz w:val="24"/>
                    </w:rPr>
                    <w:t>一个工作日内回复</w:t>
                  </w:r>
                </w:p>
              </w:tc>
            </w:tr>
            <w:tr>
              <w:tblPrEx>
                <w:tblLayout w:type="fixed"/>
                <w:tblCellMar>
                  <w:top w:w="15" w:type="dxa"/>
                  <w:left w:w="15" w:type="dxa"/>
                  <w:bottom w:w="15" w:type="dxa"/>
                  <w:right w:w="15" w:type="dxa"/>
                </w:tblCellMar>
              </w:tblPrEx>
              <w:trPr>
                <w:trHeight w:val="723" w:hRule="atLeast"/>
              </w:trPr>
              <w:tc>
                <w:tcPr>
                  <w:tcW w:w="255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仿宋_GB2312" w:eastAsia="仿宋_GB2312"/>
                      <w:color w:val="000000"/>
                      <w:sz w:val="24"/>
                    </w:rPr>
                    <w:t>网络安全日常维护</w:t>
                  </w:r>
                </w:p>
              </w:tc>
              <w:tc>
                <w:tcPr>
                  <w:tcW w:w="2410"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color w:val="000000"/>
                      <w:sz w:val="22"/>
                      <w:szCs w:val="22"/>
                    </w:rPr>
                  </w:pPr>
                  <w:r>
                    <w:rPr>
                      <w:rFonts w:hint="eastAsia" w:ascii="仿宋_GB2312" w:eastAsia="仿宋_GB2312"/>
                      <w:color w:val="000000"/>
                      <w:sz w:val="24"/>
                    </w:rPr>
                    <w:t>当前甲方内网与外网安全的重要性,每个月一次安全巡检，每季度进行网络安全评估，提供安全加固建议和优化，提交评估报告。</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kern w:val="0"/>
                      <w:sz w:val="22"/>
                      <w:szCs w:val="22"/>
                    </w:rPr>
                    <w:t>项</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宋体" w:hAnsi="宋体" w:cs="宋体"/>
                      <w:color w:val="000000"/>
                      <w:sz w:val="22"/>
                      <w:szCs w:val="22"/>
                    </w:rPr>
                    <w:t>1</w:t>
                  </w:r>
                </w:p>
              </w:tc>
              <w:tc>
                <w:tcPr>
                  <w:tcW w:w="1559" w:type="dxa"/>
                  <w:tcBorders>
                    <w:top w:val="single" w:color="000000" w:sz="4" w:space="0"/>
                    <w:left w:val="single" w:color="auto" w:sz="4" w:space="0"/>
                    <w:bottom w:val="single" w:color="000000" w:sz="4" w:space="0"/>
                    <w:right w:val="single" w:color="auto" w:sz="4" w:space="0"/>
                  </w:tcBorders>
                  <w:vAlign w:val="center"/>
                </w:tcPr>
                <w:p>
                  <w:pPr>
                    <w:jc w:val="center"/>
                    <w:rPr>
                      <w:rFonts w:ascii="宋体" w:hAnsi="宋体" w:cs="宋体"/>
                      <w:color w:val="000000"/>
                      <w:sz w:val="22"/>
                      <w:szCs w:val="22"/>
                    </w:rPr>
                  </w:pPr>
                  <w:r>
                    <w:rPr>
                      <w:rFonts w:hint="eastAsia" w:ascii="仿宋_GB2312" w:eastAsia="仿宋_GB2312"/>
                      <w:color w:val="000000"/>
                      <w:sz w:val="24"/>
                    </w:rPr>
                    <w:t>二小时内回复</w:t>
                  </w:r>
                </w:p>
              </w:tc>
            </w:tr>
            <w:tr>
              <w:tblPrEx>
                <w:tblLayout w:type="fixed"/>
                <w:tblCellMar>
                  <w:top w:w="15" w:type="dxa"/>
                  <w:left w:w="15" w:type="dxa"/>
                  <w:bottom w:w="15" w:type="dxa"/>
                  <w:right w:w="15" w:type="dxa"/>
                </w:tblCellMar>
              </w:tblPrEx>
              <w:trPr>
                <w:trHeight w:val="723" w:hRule="atLeast"/>
              </w:trPr>
              <w:tc>
                <w:tcPr>
                  <w:tcW w:w="255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防火墙设备维护和优化</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提供完整的技术支持，保障设备运行正常，同时不定期升级系统版本，根据甲方的需要，优化防火墙设置。</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项</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w:t>
                  </w:r>
                </w:p>
              </w:tc>
              <w:tc>
                <w:tcPr>
                  <w:tcW w:w="1559" w:type="dxa"/>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一个工作日内回复</w:t>
                  </w:r>
                </w:p>
              </w:tc>
            </w:tr>
            <w:tr>
              <w:tblPrEx>
                <w:tblLayout w:type="fixed"/>
                <w:tblCellMar>
                  <w:top w:w="15" w:type="dxa"/>
                  <w:left w:w="15" w:type="dxa"/>
                  <w:bottom w:w="15" w:type="dxa"/>
                  <w:right w:w="15" w:type="dxa"/>
                </w:tblCellMar>
              </w:tblPrEx>
              <w:trPr>
                <w:trHeight w:val="723" w:hRule="atLeast"/>
              </w:trPr>
              <w:tc>
                <w:tcPr>
                  <w:tcW w:w="255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HA双机热备系统维护和优化</w:t>
                  </w:r>
                </w:p>
              </w:tc>
              <w:tc>
                <w:tcPr>
                  <w:tcW w:w="24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提供双机热备系统的日常运行保障和技术支持。</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项</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1</w:t>
                  </w:r>
                </w:p>
              </w:tc>
              <w:tc>
                <w:tcPr>
                  <w:tcW w:w="1559" w:type="dxa"/>
                  <w:tcBorders>
                    <w:top w:val="single" w:color="000000" w:sz="4" w:space="0"/>
                    <w:left w:val="single" w:color="auto" w:sz="4" w:space="0"/>
                    <w:bottom w:val="single" w:color="000000" w:sz="4" w:space="0"/>
                    <w:right w:val="single" w:color="auto" w:sz="4" w:space="0"/>
                  </w:tcBorders>
                  <w:vAlign w:val="center"/>
                </w:tcPr>
                <w:p>
                  <w:pPr>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rPr>
                    <w:t>一个工作日内回复</w:t>
                  </w:r>
                </w:p>
              </w:tc>
            </w:tr>
            <w:bookmarkEnd w:id="0"/>
          </w:tbl>
          <w:p>
            <w:pPr>
              <w:spacing w:line="440" w:lineRule="exac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3" w:hRule="atLeast"/>
        </w:trPr>
        <w:tc>
          <w:tcPr>
            <w:tcW w:w="456" w:type="dxa"/>
          </w:tcPr>
          <w:p>
            <w:pPr>
              <w:jc w:val="center"/>
              <w:rPr>
                <w:rFonts w:ascii="仿宋_GB2312" w:eastAsia="仿宋_GB2312"/>
                <w:color w:val="000000"/>
                <w:sz w:val="24"/>
              </w:rPr>
            </w:pPr>
            <w:r>
              <w:rPr>
                <w:rFonts w:hint="eastAsia" w:ascii="仿宋_GB2312" w:eastAsia="仿宋_GB2312"/>
                <w:color w:val="000000"/>
                <w:sz w:val="24"/>
              </w:rPr>
              <w:t>采购相关说明</w:t>
            </w:r>
          </w:p>
        </w:tc>
        <w:tc>
          <w:tcPr>
            <w:tcW w:w="8333" w:type="dxa"/>
            <w:gridSpan w:val="4"/>
          </w:tcPr>
          <w:p>
            <w:pPr>
              <w:spacing w:line="440" w:lineRule="exact"/>
              <w:ind w:firstLine="240" w:firstLineChars="100"/>
              <w:rPr>
                <w:rFonts w:hint="default" w:ascii="仿宋_GB2312" w:eastAsia="仿宋_GB2312"/>
                <w:color w:val="000000"/>
                <w:sz w:val="24"/>
                <w:lang w:val="en-US" w:eastAsia="zh-CN"/>
              </w:rPr>
            </w:pPr>
            <w:r>
              <w:rPr>
                <w:rFonts w:hint="eastAsia" w:ascii="仿宋_GB2312" w:eastAsia="仿宋_GB2312"/>
                <w:color w:val="000000"/>
                <w:sz w:val="24"/>
                <w:lang w:val="en-US" w:eastAsia="zh-CN"/>
              </w:rPr>
              <w:t>合同履行期限（服务期限）：该项目为长期服务项目，合同期满可以续签，中标人可在合同到期前向采购单位提出续签申请。如甲方对履约情况不满意，甲方不再续约。第一次为本次招标的中标服务期限，合同最多可续签2次。</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投标报名时间：20</w:t>
            </w:r>
            <w:r>
              <w:rPr>
                <w:rFonts w:hint="eastAsia" w:ascii="仿宋_GB2312" w:eastAsia="仿宋_GB2312"/>
                <w:color w:val="000000"/>
                <w:sz w:val="24"/>
                <w:lang w:val="en-US" w:eastAsia="zh-CN"/>
              </w:rPr>
              <w:t>22</w:t>
            </w:r>
            <w:r>
              <w:rPr>
                <w:rFonts w:hint="eastAsia" w:ascii="仿宋_GB2312" w:eastAsia="仿宋_GB2312"/>
                <w:color w:val="000000"/>
                <w:sz w:val="24"/>
              </w:rPr>
              <w:t>年4月</w:t>
            </w:r>
            <w:r>
              <w:rPr>
                <w:rFonts w:hint="eastAsia" w:ascii="仿宋_GB2312" w:eastAsia="仿宋_GB2312"/>
                <w:color w:val="000000"/>
                <w:sz w:val="24"/>
                <w:lang w:val="en-US" w:eastAsia="zh-CN"/>
              </w:rPr>
              <w:t>21</w:t>
            </w:r>
            <w:r>
              <w:rPr>
                <w:rFonts w:hint="eastAsia" w:ascii="仿宋_GB2312" w:eastAsia="仿宋_GB2312"/>
                <w:color w:val="000000"/>
                <w:sz w:val="24"/>
              </w:rPr>
              <w:t>日至20</w:t>
            </w:r>
            <w:r>
              <w:rPr>
                <w:rFonts w:hint="eastAsia" w:ascii="仿宋_GB2312" w:eastAsia="仿宋_GB2312"/>
                <w:color w:val="000000"/>
                <w:sz w:val="24"/>
                <w:lang w:val="en-US" w:eastAsia="zh-CN"/>
              </w:rPr>
              <w:t>22</w:t>
            </w:r>
            <w:r>
              <w:rPr>
                <w:rFonts w:hint="eastAsia" w:ascii="仿宋_GB2312" w:eastAsia="仿宋_GB2312"/>
                <w:color w:val="000000"/>
                <w:sz w:val="24"/>
              </w:rPr>
              <w:t>年</w:t>
            </w:r>
            <w:r>
              <w:rPr>
                <w:rFonts w:hint="eastAsia" w:ascii="仿宋_GB2312" w:eastAsia="仿宋_GB2312"/>
                <w:color w:val="000000"/>
                <w:sz w:val="24"/>
                <w:lang w:val="en-US" w:eastAsia="zh-CN"/>
              </w:rPr>
              <w:t>4</w:t>
            </w:r>
            <w:r>
              <w:rPr>
                <w:rFonts w:hint="eastAsia" w:ascii="仿宋_GB2312" w:eastAsia="仿宋_GB2312"/>
                <w:color w:val="000000"/>
                <w:sz w:val="24"/>
              </w:rPr>
              <w:t>月</w:t>
            </w:r>
            <w:r>
              <w:rPr>
                <w:rFonts w:hint="eastAsia" w:ascii="仿宋_GB2312" w:eastAsia="仿宋_GB2312"/>
                <w:color w:val="000000"/>
                <w:sz w:val="24"/>
                <w:lang w:val="en-US" w:eastAsia="zh-CN"/>
              </w:rPr>
              <w:t>26</w:t>
            </w:r>
            <w:bookmarkStart w:id="1" w:name="_GoBack"/>
            <w:bookmarkEnd w:id="1"/>
            <w:r>
              <w:rPr>
                <w:rFonts w:hint="eastAsia" w:ascii="仿宋_GB2312" w:eastAsia="仿宋_GB2312"/>
                <w:color w:val="000000"/>
                <w:sz w:val="24"/>
              </w:rPr>
              <w:t>日</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采购地址：深圳市福田区福中三路市民中心B区工业展览馆10楼</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联系人：林少铮</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联系电话：0755-88121385</w:t>
            </w:r>
          </w:p>
          <w:p>
            <w:pPr>
              <w:spacing w:line="440" w:lineRule="exact"/>
              <w:ind w:firstLine="240" w:firstLineChars="100"/>
              <w:rPr>
                <w:rFonts w:ascii="仿宋_GB2312" w:eastAsia="仿宋_GB2312"/>
                <w:color w:val="000000"/>
                <w:sz w:val="24"/>
              </w:rPr>
            </w:pPr>
            <w:r>
              <w:rPr>
                <w:rFonts w:hint="eastAsia" w:ascii="仿宋_GB2312" w:eastAsia="仿宋_GB2312"/>
                <w:color w:val="000000"/>
                <w:sz w:val="24"/>
              </w:rPr>
              <w:t>邮箱：linsz@gxj.sz.gov.cn</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C5644"/>
    <w:rsid w:val="00086386"/>
    <w:rsid w:val="000E47DB"/>
    <w:rsid w:val="001349A3"/>
    <w:rsid w:val="00134B0E"/>
    <w:rsid w:val="00154365"/>
    <w:rsid w:val="001B4FCF"/>
    <w:rsid w:val="00346055"/>
    <w:rsid w:val="003E68C7"/>
    <w:rsid w:val="003E6C47"/>
    <w:rsid w:val="00420E3D"/>
    <w:rsid w:val="00454A4C"/>
    <w:rsid w:val="004F3594"/>
    <w:rsid w:val="00633ACB"/>
    <w:rsid w:val="006642A3"/>
    <w:rsid w:val="00696125"/>
    <w:rsid w:val="009E706A"/>
    <w:rsid w:val="00BC3E57"/>
    <w:rsid w:val="00C111A5"/>
    <w:rsid w:val="00C3515E"/>
    <w:rsid w:val="00D67A8A"/>
    <w:rsid w:val="00E36937"/>
    <w:rsid w:val="00EB0E5A"/>
    <w:rsid w:val="00F61498"/>
    <w:rsid w:val="0AC342AE"/>
    <w:rsid w:val="0D55361C"/>
    <w:rsid w:val="10494699"/>
    <w:rsid w:val="173D0A66"/>
    <w:rsid w:val="1C9C5644"/>
    <w:rsid w:val="2EB74052"/>
    <w:rsid w:val="38FF0BFA"/>
    <w:rsid w:val="3C9E012D"/>
    <w:rsid w:val="40B90CC3"/>
    <w:rsid w:val="41C60849"/>
    <w:rsid w:val="478F2565"/>
    <w:rsid w:val="4A171E4E"/>
    <w:rsid w:val="4ABE2716"/>
    <w:rsid w:val="4EB94C45"/>
    <w:rsid w:val="5047045F"/>
    <w:rsid w:val="605243CD"/>
    <w:rsid w:val="617741F5"/>
    <w:rsid w:val="63270003"/>
    <w:rsid w:val="638D75E5"/>
    <w:rsid w:val="655E009B"/>
    <w:rsid w:val="6B2B551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Title"/>
    <w:basedOn w:val="1"/>
    <w:next w:val="1"/>
    <w:qFormat/>
    <w:uiPriority w:val="0"/>
    <w:pPr>
      <w:spacing w:before="240" w:after="60"/>
      <w:jc w:val="center"/>
      <w:outlineLvl w:val="0"/>
    </w:pPr>
    <w:rPr>
      <w:rFonts w:ascii="Cambria" w:hAnsi="Cambria"/>
      <w:b/>
      <w:bCs/>
      <w:sz w:val="32"/>
      <w:szCs w:val="32"/>
    </w:rPr>
  </w:style>
  <w:style w:type="character" w:customStyle="1" w:styleId="7">
    <w:name w:val="页眉 字符"/>
    <w:basedOn w:val="6"/>
    <w:link w:val="3"/>
    <w:qFormat/>
    <w:uiPriority w:val="0"/>
    <w:rPr>
      <w:kern w:val="2"/>
      <w:sz w:val="18"/>
      <w:szCs w:val="18"/>
    </w:rPr>
  </w:style>
  <w:style w:type="character" w:customStyle="1" w:styleId="8">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B-TYJ\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137</Words>
  <Characters>786</Characters>
  <Lines>6</Lines>
  <Paragraphs>1</Paragraphs>
  <TotalTime>25</TotalTime>
  <ScaleCrop>false</ScaleCrop>
  <LinksUpToDate>false</LinksUpToDate>
  <CharactersWithSpaces>922</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2018-09-25T09:01:00Z</dcterms:created>
  <dc:creator>汤亚杰</dc:creator>
  <cp:lastModifiedBy>叶涛</cp:lastModifiedBy>
  <cp:lastPrinted>2022-04-20T07:22:00Z</cp:lastPrinted>
  <dcterms:modified xsi:type="dcterms:W3CDTF">2022-04-21T01:01:44Z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