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spacing w:after="0" w:line="240" w:lineRule="auto"/>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5</w:t>
            </w:r>
          </w:p>
        </w:tc>
        <w:tc>
          <w:tcPr>
            <w:tcW w:w="1281" w:type="dxa"/>
            <w:gridSpan w:val="2"/>
          </w:tcPr>
          <w:p>
            <w:pPr>
              <w:spacing w:after="0" w:line="240" w:lineRule="auto"/>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20210047</w:t>
            </w:r>
          </w:p>
        </w:tc>
        <w:tc>
          <w:tcPr>
            <w:tcW w:w="5245" w:type="dxa"/>
          </w:tcPr>
          <w:p>
            <w:pPr>
              <w:spacing w:after="0" w:line="240" w:lineRule="auto"/>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关于大力发展高端医疗装备产业方面的建议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盛司潼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spacing w:after="0" w:line="240" w:lineRule="auto"/>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spacing w:after="0" w:line="240" w:lineRule="auto"/>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spacing w:after="0" w:line="240" w:lineRule="auto"/>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一、提案提出背景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1、高端医疗装备产业是关系到人民健康的重大产业，在我国高端医疗装备一直被国际厂商高度垄断，使得我国每年不仅要花费大量的资金购买设备，而且使得治疗费用居高不下，直接影响国家、患者的经济负担。国家近年来将生物医药产业作为重点发展的新兴产业，在“十三五规划”、《健康中国行动（2019-2030）》规划纲要；《中国制造2025》等文件都明确提出了要重点发展高端医疗装备产业。高端医疗装备产业也得到了</w:t>
            </w:r>
            <w:r>
              <w:rPr>
                <w:rFonts w:hint="eastAsia" w:ascii="华文仿宋" w:hAnsi="华文仿宋" w:eastAsia="华文仿宋"/>
                <w:color w:val="000000" w:themeColor="text1"/>
                <w:sz w:val="28"/>
                <w:szCs w:val="28"/>
                <w:lang w:eastAsia="zh-CN"/>
                <w14:textFill>
                  <w14:solidFill>
                    <w14:schemeClr w14:val="tx1"/>
                  </w14:solidFill>
                </w14:textFill>
              </w:rPr>
              <w:t>习近平总书记</w:t>
            </w:r>
            <w:r>
              <w:rPr>
                <w:rFonts w:ascii="华文仿宋" w:hAnsi="华文仿宋" w:eastAsia="华文仿宋"/>
                <w:color w:val="000000" w:themeColor="text1"/>
                <w:sz w:val="28"/>
                <w:szCs w:val="28"/>
                <w14:textFill>
                  <w14:solidFill>
                    <w14:schemeClr w14:val="tx1"/>
                  </w14:solidFill>
                </w14:textFill>
              </w:rPr>
              <w:t>的关切，</w:t>
            </w:r>
            <w:r>
              <w:rPr>
                <w:rFonts w:hint="eastAsia" w:ascii="华文仿宋" w:hAnsi="华文仿宋" w:eastAsia="华文仿宋"/>
                <w:color w:val="000000" w:themeColor="text1"/>
                <w:sz w:val="28"/>
                <w:szCs w:val="28"/>
                <w:lang w:eastAsia="zh-CN"/>
                <w14:textFill>
                  <w14:solidFill>
                    <w14:schemeClr w14:val="tx1"/>
                  </w14:solidFill>
                </w14:textFill>
              </w:rPr>
              <w:t>习近平总书记</w:t>
            </w:r>
            <w:r>
              <w:rPr>
                <w:rFonts w:ascii="华文仿宋" w:hAnsi="华文仿宋" w:eastAsia="华文仿宋"/>
                <w:color w:val="000000" w:themeColor="text1"/>
                <w:sz w:val="28"/>
                <w:szCs w:val="28"/>
                <w14:textFill>
                  <w14:solidFill>
                    <w14:schemeClr w14:val="tx1"/>
                  </w14:solidFill>
                </w14:textFill>
              </w:rPr>
              <w:t>多次在讲话中提出“要加快补齐我国高端医疗装备短板，加快关键核心技术攻关，突破技术装备瓶颈，实现高端医疗装备自主可控”。发展高端医疗装备不仅是国家发展战略的需要，也是贯彻落实总书记指示的需要。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2、发展高端医疗装备产业符合深圳市未来的战略发展规划，深圳具有发展高端医疗装备的基础。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在改革开放之初，深圳高端医疗装备行业还是诞生了一些高端医疗装备企业，比如在上世纪90年代，国产放疗尖端设备伽马刀就是诞生、发展在深圳。深圳发布的“深圳综合改革试点首批40条授权事项”、以及中国国医科院深圳分院、国家食品</w:t>
            </w:r>
            <w:r>
              <w:rPr>
                <w:rFonts w:hint="eastAsia" w:ascii="华文仿宋" w:hAnsi="华文仿宋" w:eastAsia="华文仿宋"/>
                <w:color w:val="000000" w:themeColor="text1"/>
                <w:sz w:val="28"/>
                <w:szCs w:val="28"/>
                <w14:textFill>
                  <w14:solidFill>
                    <w14:schemeClr w14:val="tx1"/>
                  </w14:solidFill>
                </w14:textFill>
              </w:rPr>
              <w:t>药品监督管理局</w:t>
            </w:r>
            <w:bookmarkStart w:id="0" w:name="_GoBack"/>
            <w:bookmarkEnd w:id="0"/>
            <w:r>
              <w:rPr>
                <w:rFonts w:ascii="华文仿宋" w:hAnsi="华文仿宋" w:eastAsia="华文仿宋"/>
                <w:color w:val="000000" w:themeColor="text1"/>
                <w:sz w:val="28"/>
                <w:szCs w:val="28"/>
                <w14:textFill>
                  <w14:solidFill>
                    <w14:schemeClr w14:val="tx1"/>
                  </w14:solidFill>
                </w14:textFill>
              </w:rPr>
              <w:t>深圳审评分中心的成立、深圳具有高度发达的计算机、互联网、人工智能、大科学装置、研究机构等都为高端医疗装备的发展打下了良好的产业基础和聚集了丰富的人才资源。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3、发展高端医疗装备产业不仅可以有效带动生物医药产业的发展，而且可以促进、提高深圳乃至大湾区的现代医疗水平，改善深圳高端医疗服务和资源缺乏的现状，在实现医疗资源多元化、社会化等方面做出有益的探索。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二、建议措施：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高端医疗装备产业是涵盖了疾病诊断、治疗和康复的全过程，涉及的产品种类还是比较多的，针对深圳的情况，就如何发展高端医疗装备产业提出如下建议：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spacing w:after="0" w:line="240" w:lineRule="auto"/>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spacing w:after="0" w:line="240" w:lineRule="auto"/>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建议一、高起点、填空白，积极引进高端医疗装备企业和研究机构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补充说明：高端医疗装备综合了人才、技术、制造等多学科、跨领域，深圳应当充分发挥大湾区的政策优势，产业基础优势，优先发展临床医学理论、产品技术相对成熟的具有国际水平的高品质医疗装备等，这些装备不仅能够形成巨大的市场，而且对于产业发展具有引领和聚集效应，也是我国目前迫切需要的装备，也是利用现有力量完全可以实现赶超国际水平的装备。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建议二、以点带面，突出特色，形成产业特征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补充说明：由于肿瘤治疗市场规模大、高端装备的价值大，建议首先围绕打造肿瘤治疗产业为主线和长期目标，通过重点发展肿瘤治疗领域的放疗设备、检测设备为开端，实现“零”的突破，打开局面，进而利用特色产业的聚集效应，打造肿瘤检测、筛查、治疗、术后康复为一体的肿瘤诊疗产业链。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建议三、以产业带动科研、以科研助力产业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补充说明：高端医疗装备具有研发周期长、技术路线图不确定性大、投资强度大的特点，属于技术、资金密集型的高科技产业。因此，政府应当重点支持引进此类项目，通过政府产业基金带动社会资本，加大对高端医疗装备的投入。由于企业直接面向市场，因此政府应当加大对企业科研的鼓励和投入。另一方面，由于临床基础医学研究的滞后和力量薄弱，对于高端医疗装备的发展首先是先在装备的工程实现方面取得突破，然后通过市场需求来引导科研方向，尤其是临床医学的发展，进而实现产业与科研的良性循环。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pPr>
        <w:sectPr>
          <w:cols w:space="720" w:num="1"/>
        </w:sectPr>
      </w:pPr>
    </w:p>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spacing w:after="0" w:line="240" w:lineRule="auto"/>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99</w:t>
            </w:r>
          </w:p>
        </w:tc>
        <w:tc>
          <w:tcPr>
            <w:tcW w:w="1281" w:type="dxa"/>
            <w:gridSpan w:val="2"/>
          </w:tcPr>
          <w:p>
            <w:pPr>
              <w:spacing w:after="0" w:line="240" w:lineRule="auto"/>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w:t>
            </w:r>
            <w:r>
              <w:rPr>
                <w:rFonts w:hint="eastAsia" w:ascii="Times New Roman" w:eastAsia="华文仿宋"/>
                <w:color w:val="000000" w:themeColor="text1"/>
                <w:sz w:val="32"/>
                <w:lang w:val="en-US" w:eastAsia="zh-CN"/>
                <w14:textFill>
                  <w14:solidFill>
                    <w14:schemeClr w14:val="tx1"/>
                  </w14:solidFill>
                </w14:textFill>
              </w:rPr>
              <w:t>提案</w:t>
            </w:r>
            <w:r>
              <w:rPr>
                <w:rFonts w:hint="eastAsia" w:ascii="Times New Roman" w:eastAsia="华文仿宋"/>
                <w:color w:val="000000" w:themeColor="text1"/>
                <w:sz w:val="32"/>
                <w14:textFill>
                  <w14:solidFill>
                    <w14:schemeClr w14:val="tx1"/>
                  </w14:solidFill>
                </w14:textFill>
              </w:rPr>
              <w:t>第</w:t>
            </w:r>
          </w:p>
        </w:tc>
        <w:tc>
          <w:tcPr>
            <w:tcW w:w="1134" w:type="dxa"/>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20151003</w:t>
            </w:r>
          </w:p>
        </w:tc>
        <w:tc>
          <w:tcPr>
            <w:tcW w:w="5245" w:type="dxa"/>
          </w:tcPr>
          <w:p>
            <w:pPr>
              <w:spacing w:after="0" w:line="240" w:lineRule="auto"/>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spacing w:after="0" w:line="240" w:lineRule="auto"/>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spacing w:after="0" w:line="240" w:lineRule="auto"/>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spacing w:after="0" w:line="240" w:lineRule="auto"/>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spacing w:after="0" w:line="240" w:lineRule="auto"/>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spacing w:after="0" w:line="240" w:lineRule="auto"/>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A</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0390BFB"/>
    <w:rsid w:val="44360900"/>
    <w:rsid w:val="4EBA4C65"/>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4</Pages>
  <Words>1454</Words>
  <Characters>1482</Characters>
  <Lines>1</Lines>
  <Paragraphs>1</Paragraphs>
  <TotalTime>18</TotalTime>
  <ScaleCrop>false</ScaleCrop>
  <LinksUpToDate>false</LinksUpToDate>
  <CharactersWithSpaces>1535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2022-08-15T01:29:27Z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22EB438B6E71432982BA343865294FE5</vt:lpwstr>
  </property>
</Properties>
</file>