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r>
              <w:rPr>
                <w:rFonts w:ascii="Times New Roman" w:eastAsia="华文仿宋"/>
                <w:sz w:val="32"/>
              </w:rPr>
              <w:t>1</w:t>
            </w:r>
          </w:p>
        </w:tc>
        <w:tc>
          <w:tcPr>
            <w:tcW w:w="1281" w:type="dxa"/>
            <w:gridSpan w:val="2"/>
          </w:tcPr>
          <w:p>
            <w:r>
              <w:rPr>
                <w:rFonts w:hint="eastAsia" w:ascii="Times New Roman" w:eastAsia="华文仿宋"/>
                <w:sz w:val="32"/>
              </w:rPr>
              <w:t>、提案第</w:t>
            </w:r>
          </w:p>
        </w:tc>
        <w:tc>
          <w:tcPr>
            <w:tcW w:w="1134" w:type="dxa"/>
          </w:tcPr>
          <w:p>
            <w:pPr>
              <w:rPr>
                <w:rFonts w:ascii="华文仿宋" w:hAnsi="华文仿宋" w:eastAsia="华文仿宋"/>
                <w:sz w:val="28"/>
                <w:szCs w:val="28"/>
              </w:rPr>
            </w:pPr>
            <w:r>
              <w:rPr>
                <w:rFonts w:ascii="华文仿宋" w:hAnsi="华文仿宋" w:eastAsia="华文仿宋"/>
                <w:sz w:val="28"/>
                <w:szCs w:val="28"/>
              </w:rPr>
              <w:t>20190068</w:t>
            </w:r>
          </w:p>
        </w:tc>
        <w:tc>
          <w:tcPr>
            <w:tcW w:w="5245" w:type="dxa"/>
          </w:tcPr>
          <w:p>
            <w:r>
              <w:rPr>
                <w:rFonts w:hint="eastAsia" w:ascii="Times New Roman" w:eastAsia="华文仿宋"/>
                <w:sz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r>
              <w:rPr>
                <w:rFonts w:hint="eastAsia" w:ascii="黑体" w:eastAsia="黑体"/>
                <w:sz w:val="28"/>
              </w:rPr>
              <w:t>标    题：</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关于建设</w:t>
            </w:r>
            <w:r>
              <w:rPr>
                <w:rFonts w:hint="eastAsia" w:ascii="华文仿宋" w:hAnsi="华文仿宋" w:eastAsia="华文仿宋"/>
                <w:sz w:val="28"/>
                <w:szCs w:val="28"/>
                <w:lang w:eastAsia="zh-CN"/>
              </w:rPr>
              <w:t>“一带一路”</w:t>
            </w:r>
            <w:r>
              <w:rPr>
                <w:rFonts w:ascii="华文仿宋" w:hAnsi="华文仿宋" w:eastAsia="华文仿宋"/>
                <w:sz w:val="28"/>
                <w:szCs w:val="28"/>
              </w:rPr>
              <w:t>工业博览中心的提案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pPr>
            <w:r>
              <w:rPr>
                <w:rFonts w:hint="eastAsia" w:ascii="黑体" w:eastAsia="黑体"/>
                <w:sz w:val="28"/>
              </w:rPr>
              <w:t>提 出 人：</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张春华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r>
              <w:rPr>
                <w:rFonts w:hint="eastAsia" w:ascii="黑体" w:eastAsia="黑体"/>
                <w:sz w:val="28"/>
              </w:rPr>
              <w:t>办理类型：</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市发展和改革委员会,市工业和信息化局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为助力国家</w:t>
            </w:r>
            <w:bookmarkStart w:id="0" w:name="_GoBack"/>
            <w:bookmarkEnd w:id="0"/>
            <w:r>
              <w:rPr>
                <w:rFonts w:hint="eastAsia" w:ascii="华文仿宋" w:hAnsi="华文仿宋" w:eastAsia="华文仿宋"/>
                <w:sz w:val="28"/>
                <w:szCs w:val="28"/>
                <w:lang w:eastAsia="zh-CN"/>
              </w:rPr>
              <w:t>“一带一路”</w:t>
            </w:r>
            <w:r>
              <w:rPr>
                <w:rFonts w:ascii="华文仿宋" w:hAnsi="华文仿宋" w:eastAsia="华文仿宋"/>
                <w:sz w:val="28"/>
                <w:szCs w:val="28"/>
              </w:rPr>
              <w:t>与中国制造2025战略，进一步优化全要素供应链生态体系，创新实体经济与生产型服务内容，促进珠三角制造型企业降低生产与运营成本、对接海外优质生产与生活要素资源，满足粤港澳大湾区人民日益增长的物质与文化需求，建议在我市规划建设</w:t>
            </w:r>
            <w:r>
              <w:rPr>
                <w:rFonts w:hint="eastAsia" w:ascii="华文仿宋" w:hAnsi="华文仿宋" w:eastAsia="华文仿宋"/>
                <w:sz w:val="28"/>
                <w:szCs w:val="28"/>
                <w:lang w:eastAsia="zh-CN"/>
              </w:rPr>
              <w:t>“一带一路”</w:t>
            </w:r>
            <w:r>
              <w:rPr>
                <w:rFonts w:ascii="华文仿宋" w:hAnsi="华文仿宋" w:eastAsia="华文仿宋"/>
                <w:sz w:val="28"/>
                <w:szCs w:val="28"/>
              </w:rPr>
              <w:t>工业博览中心（以下简称博览中心）。
</w:t>
            </w:r>
            <w:r>
              <w:rPr>
                <w:rFonts w:ascii="华文仿宋" w:hAnsi="华文仿宋" w:eastAsia="华文仿宋"/>
                <w:sz w:val="28"/>
                <w:szCs w:val="28"/>
              </w:rPr>
              <w:br w:type="textWrapping"/>
            </w:r>
            <w:r>
              <w:rPr>
                <w:rFonts w:ascii="华文仿宋" w:hAnsi="华文仿宋" w:eastAsia="华文仿宋"/>
                <w:sz w:val="28"/>
                <w:szCs w:val="28"/>
              </w:rPr>
              <w:t>　　一、背景与意义
</w:t>
            </w:r>
            <w:r>
              <w:rPr>
                <w:rFonts w:ascii="华文仿宋" w:hAnsi="华文仿宋" w:eastAsia="华文仿宋"/>
                <w:sz w:val="28"/>
                <w:szCs w:val="28"/>
              </w:rPr>
              <w:br w:type="textWrapping"/>
            </w:r>
            <w:r>
              <w:rPr>
                <w:rFonts w:ascii="华文仿宋" w:hAnsi="华文仿宋" w:eastAsia="华文仿宋"/>
                <w:sz w:val="28"/>
                <w:szCs w:val="28"/>
              </w:rPr>
              <w:t>　　（一）从进口贸易来看，进口商品贸易是以习近平同志为核心的党中央着眼推进新一轮高水平对外开放做出的一项重大决策，是中国政府坚定支持贸易自由化和经济全球化、主动向世界开放市场的重大举措。2018年11月5-10日，首届进博会在上海成功召开，在华南区规划建设常年不落寞的</w:t>
            </w:r>
            <w:r>
              <w:rPr>
                <w:rFonts w:hint="eastAsia" w:ascii="华文仿宋" w:hAnsi="华文仿宋" w:eastAsia="华文仿宋"/>
                <w:sz w:val="28"/>
                <w:szCs w:val="28"/>
                <w:lang w:eastAsia="zh-CN"/>
              </w:rPr>
              <w:t>“一带一路”</w:t>
            </w:r>
            <w:r>
              <w:rPr>
                <w:rFonts w:ascii="华文仿宋" w:hAnsi="华文仿宋" w:eastAsia="华文仿宋"/>
                <w:sz w:val="28"/>
                <w:szCs w:val="28"/>
              </w:rPr>
              <w:t>进口商品博览中心，将有利于促进粤港澳大湾区与世界各经济体的经贸交流与合作，对接国外先进生产设备、半成品等供给侧要素资源，促进珠三角产业升级，推动开放型经济发展。
</w:t>
            </w:r>
            <w:r>
              <w:rPr>
                <w:rFonts w:ascii="华文仿宋" w:hAnsi="华文仿宋" w:eastAsia="华文仿宋"/>
                <w:sz w:val="28"/>
                <w:szCs w:val="28"/>
              </w:rPr>
              <w:br w:type="textWrapping"/>
            </w:r>
            <w:r>
              <w:rPr>
                <w:rFonts w:ascii="华文仿宋" w:hAnsi="华文仿宋" w:eastAsia="华文仿宋"/>
                <w:sz w:val="28"/>
                <w:szCs w:val="28"/>
              </w:rPr>
              <w:t>　　（二）从供给侧来看，规划建设</w:t>
            </w:r>
            <w:r>
              <w:rPr>
                <w:rFonts w:hint="eastAsia" w:ascii="华文仿宋" w:hAnsi="华文仿宋" w:eastAsia="华文仿宋"/>
                <w:sz w:val="28"/>
                <w:szCs w:val="28"/>
                <w:lang w:eastAsia="zh-CN"/>
              </w:rPr>
              <w:t>“一带一路”</w:t>
            </w:r>
            <w:r>
              <w:rPr>
                <w:rFonts w:ascii="华文仿宋" w:hAnsi="华文仿宋" w:eastAsia="华文仿宋"/>
                <w:sz w:val="28"/>
                <w:szCs w:val="28"/>
              </w:rPr>
              <w:t>工业博览中心，在单一主体/载体内聚合生产、运营、流通、生活等工业供给侧的碎片化服务资源，打造面向实体经济的一站式生产服务生态体系，降低企业生产流通与运营销售成本，促进生产型企业向研发设计、品牌标准等价值链高端环节发展将有着非常重要的现实意义。
</w:t>
            </w:r>
            <w:r>
              <w:rPr>
                <w:rFonts w:ascii="华文仿宋" w:hAnsi="华文仿宋" w:eastAsia="华文仿宋"/>
                <w:sz w:val="28"/>
                <w:szCs w:val="28"/>
              </w:rPr>
              <w:br w:type="textWrapping"/>
            </w:r>
            <w:r>
              <w:rPr>
                <w:rFonts w:ascii="华文仿宋" w:hAnsi="华文仿宋" w:eastAsia="华文仿宋"/>
                <w:sz w:val="28"/>
                <w:szCs w:val="28"/>
              </w:rPr>
              <w:t>　　（三）从产业服务来看，随着深圳制造业承载空间难以为继，金融等服务实体经济的粘性或将弱化，因此，很有必要在深圳华强北（电子元器件）、CEEC(电子消费品)之外，规划建设博览中心，进一步对接</w:t>
            </w:r>
            <w:r>
              <w:rPr>
                <w:rFonts w:hint="eastAsia" w:ascii="华文仿宋" w:hAnsi="华文仿宋" w:eastAsia="华文仿宋"/>
                <w:sz w:val="28"/>
                <w:szCs w:val="28"/>
                <w:lang w:eastAsia="zh-CN"/>
              </w:rPr>
              <w:t>“一带一路”</w:t>
            </w:r>
            <w:r>
              <w:rPr>
                <w:rFonts w:ascii="华文仿宋" w:hAnsi="华文仿宋" w:eastAsia="华文仿宋"/>
                <w:sz w:val="28"/>
                <w:szCs w:val="28"/>
              </w:rPr>
              <w:t>产品，尤其是工业产品资源，打造全球生产要素展示服务中心，促进国外工业原材料、MRO产品（M维护、R维修、O运营）、保税设备等工业产品以及生产型服务资源在深圳集聚，更好地促进深圳制造业以及金融、总部经济、工业设计、生产型服务业等产业跨越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规划建设博览中心等生产要素公共服务平台，对接</w:t>
            </w:r>
            <w:r>
              <w:rPr>
                <w:rFonts w:hint="eastAsia" w:ascii="华文仿宋" w:hAnsi="华文仿宋" w:eastAsia="华文仿宋"/>
                <w:sz w:val="28"/>
                <w:szCs w:val="28"/>
                <w:lang w:eastAsia="zh-CN"/>
              </w:rPr>
              <w:t>“一带一路”</w:t>
            </w:r>
            <w:r>
              <w:rPr>
                <w:rFonts w:ascii="华文仿宋" w:hAnsi="华文仿宋" w:eastAsia="华文仿宋"/>
                <w:sz w:val="28"/>
                <w:szCs w:val="28"/>
              </w:rPr>
              <w:t>生产、生活类产品以及供给侧、销售侧服务型资源，打造工业全要素产品与服务采购平台，促进生产型企业降低采购成本，进一步集聚碎片化生产服务资源，促进实体经济持续、健康发展。鉴此，建议平台涵盖以下服务内容：</w:t>
            </w:r>
            <w:r>
              <w:rPr>
                <w:rFonts w:hint="eastAsia" w:ascii="华文仿宋" w:hAnsi="华文仿宋" w:eastAsia="华文仿宋"/>
                <w:sz w:val="28"/>
                <w:szCs w:val="28"/>
                <w:lang w:eastAsia="zh-CN"/>
              </w:rPr>
              <w:t>“一带一路”</w:t>
            </w:r>
            <w:r>
              <w:rPr>
                <w:rFonts w:ascii="华文仿宋" w:hAnsi="华文仿宋" w:eastAsia="华文仿宋"/>
                <w:sz w:val="28"/>
                <w:szCs w:val="28"/>
              </w:rPr>
              <w:t>生产要素服务中心、</w:t>
            </w:r>
            <w:r>
              <w:rPr>
                <w:rFonts w:hint="eastAsia" w:ascii="华文仿宋" w:hAnsi="华文仿宋" w:eastAsia="华文仿宋"/>
                <w:sz w:val="28"/>
                <w:szCs w:val="28"/>
                <w:lang w:eastAsia="zh-CN"/>
              </w:rPr>
              <w:t>“一带一路”</w:t>
            </w:r>
            <w:r>
              <w:rPr>
                <w:rFonts w:ascii="华文仿宋" w:hAnsi="华文仿宋" w:eastAsia="华文仿宋"/>
                <w:sz w:val="28"/>
                <w:szCs w:val="28"/>
              </w:rPr>
              <w:t>未来智造汇馆、</w:t>
            </w:r>
            <w:r>
              <w:rPr>
                <w:rFonts w:hint="eastAsia" w:ascii="华文仿宋" w:hAnsi="华文仿宋" w:eastAsia="华文仿宋"/>
                <w:sz w:val="28"/>
                <w:szCs w:val="28"/>
                <w:lang w:eastAsia="zh-CN"/>
              </w:rPr>
              <w:t>“一带一路”</w:t>
            </w:r>
            <w:r>
              <w:rPr>
                <w:rFonts w:ascii="华文仿宋" w:hAnsi="华文仿宋" w:eastAsia="华文仿宋"/>
                <w:sz w:val="28"/>
                <w:szCs w:val="28"/>
              </w:rPr>
              <w:t>未来智造产品服务基地、</w:t>
            </w:r>
            <w:r>
              <w:rPr>
                <w:rFonts w:hint="eastAsia" w:ascii="华文仿宋" w:hAnsi="华文仿宋" w:eastAsia="华文仿宋"/>
                <w:sz w:val="28"/>
                <w:szCs w:val="28"/>
                <w:lang w:eastAsia="zh-CN"/>
              </w:rPr>
              <w:t>“一带一路”</w:t>
            </w:r>
            <w:r>
              <w:rPr>
                <w:rFonts w:ascii="华文仿宋" w:hAnsi="华文仿宋" w:eastAsia="华文仿宋"/>
                <w:sz w:val="28"/>
                <w:szCs w:val="28"/>
              </w:rPr>
              <w:t>虚拟生产与智能制造总部基地、</w:t>
            </w:r>
            <w:r>
              <w:rPr>
                <w:rFonts w:hint="eastAsia" w:ascii="华文仿宋" w:hAnsi="华文仿宋" w:eastAsia="华文仿宋"/>
                <w:sz w:val="28"/>
                <w:szCs w:val="28"/>
                <w:lang w:eastAsia="zh-CN"/>
              </w:rPr>
              <w:t>“一带一路”</w:t>
            </w:r>
            <w:r>
              <w:rPr>
                <w:rFonts w:ascii="华文仿宋" w:hAnsi="华文仿宋" w:eastAsia="华文仿宋"/>
                <w:sz w:val="28"/>
                <w:szCs w:val="28"/>
              </w:rPr>
              <w:t>进口商品展销中心。
</w:t>
            </w:r>
            <w:r>
              <w:rPr>
                <w:rFonts w:ascii="华文仿宋" w:hAnsi="华文仿宋" w:eastAsia="华文仿宋"/>
                <w:sz w:val="28"/>
                <w:szCs w:val="28"/>
              </w:rPr>
              <w:br w:type="textWrapping"/>
            </w:r>
            <w:r>
              <w:rPr>
                <w:rFonts w:ascii="华文仿宋" w:hAnsi="华文仿宋" w:eastAsia="华文仿宋"/>
                <w:sz w:val="28"/>
                <w:szCs w:val="28"/>
              </w:rPr>
              <w:t>　　（一）</w:t>
            </w:r>
            <w:r>
              <w:rPr>
                <w:rFonts w:hint="eastAsia" w:ascii="华文仿宋" w:hAnsi="华文仿宋" w:eastAsia="华文仿宋"/>
                <w:sz w:val="28"/>
                <w:szCs w:val="28"/>
                <w:lang w:eastAsia="zh-CN"/>
              </w:rPr>
              <w:t>“一带一路”</w:t>
            </w:r>
            <w:r>
              <w:rPr>
                <w:rFonts w:ascii="华文仿宋" w:hAnsi="华文仿宋" w:eastAsia="华文仿宋"/>
                <w:sz w:val="28"/>
                <w:szCs w:val="28"/>
              </w:rPr>
              <w:t>生产要素服务中心：重点关注工业生产环节的研发、设计（工程设计、外观设计）、打样、建模、供应链综合（外贸、仓储、物流）、信息集成、检测、营销、维保、培训、人才、技术、电商、金融、会展等要素资源服务，打造面向工业与制造业的一站式服务中心，促进工业服务领域供应链、价值链与服务链“三链融合”。
</w:t>
            </w:r>
            <w:r>
              <w:rPr>
                <w:rFonts w:ascii="华文仿宋" w:hAnsi="华文仿宋" w:eastAsia="华文仿宋"/>
                <w:sz w:val="28"/>
                <w:szCs w:val="28"/>
              </w:rPr>
              <w:br w:type="textWrapping"/>
            </w:r>
            <w:r>
              <w:rPr>
                <w:rFonts w:ascii="华文仿宋" w:hAnsi="华文仿宋" w:eastAsia="华文仿宋"/>
                <w:sz w:val="28"/>
                <w:szCs w:val="28"/>
              </w:rPr>
              <w:t>　　（二）</w:t>
            </w:r>
            <w:r>
              <w:rPr>
                <w:rFonts w:hint="eastAsia" w:ascii="华文仿宋" w:hAnsi="华文仿宋" w:eastAsia="华文仿宋"/>
                <w:sz w:val="28"/>
                <w:szCs w:val="28"/>
                <w:lang w:eastAsia="zh-CN"/>
              </w:rPr>
              <w:t>“一带一路”</w:t>
            </w:r>
            <w:r>
              <w:rPr>
                <w:rFonts w:ascii="华文仿宋" w:hAnsi="华文仿宋" w:eastAsia="华文仿宋"/>
                <w:sz w:val="28"/>
                <w:szCs w:val="28"/>
              </w:rPr>
              <w:t>未来智造汇馆：重点打造工业4.0与中国制造2025相关的高端设备、精密零部件、电子料件等半成品、新材料等生产要素资源以及德国、日本、美国、中国台湾、以色列、新加坡、韩国等进口生产要素资源，打造围绕工业4.0设备与半成品资源的不落幕展会平台。
</w:t>
            </w:r>
            <w:r>
              <w:rPr>
                <w:rFonts w:ascii="华文仿宋" w:hAnsi="华文仿宋" w:eastAsia="华文仿宋"/>
                <w:sz w:val="28"/>
                <w:szCs w:val="28"/>
              </w:rPr>
              <w:br w:type="textWrapping"/>
            </w:r>
            <w:r>
              <w:rPr>
                <w:rFonts w:ascii="华文仿宋" w:hAnsi="华文仿宋" w:eastAsia="华文仿宋"/>
                <w:sz w:val="28"/>
                <w:szCs w:val="28"/>
              </w:rPr>
              <w:t>　　（三）</w:t>
            </w:r>
            <w:r>
              <w:rPr>
                <w:rFonts w:hint="eastAsia" w:ascii="华文仿宋" w:hAnsi="华文仿宋" w:eastAsia="华文仿宋"/>
                <w:sz w:val="28"/>
                <w:szCs w:val="28"/>
                <w:lang w:eastAsia="zh-CN"/>
              </w:rPr>
              <w:t>“一带一路”</w:t>
            </w:r>
            <w:r>
              <w:rPr>
                <w:rFonts w:ascii="华文仿宋" w:hAnsi="华文仿宋" w:eastAsia="华文仿宋"/>
                <w:sz w:val="28"/>
                <w:szCs w:val="28"/>
              </w:rPr>
              <w:t>未来智造产品服务基地：重点提供“创客+技术（硅谷、欧洲）—科技成果转化评估委员会初审—福田创客服务中心（办公场地资源+电子料件等硬件厂商资源+工业/工程设计资源+建模打样资源）—单一成品”等0-1环节的综合服务以及“单一成品—电商平台众筹（测试市场前景测试，用户体验反馈，产品优化）—风投与资金导入—代工资源进行规模化生产—自有（跨境）电商展示与销售服务平台+供应链综合服务—产品成功销售”等1-N环节的综合服务。
</w:t>
            </w:r>
            <w:r>
              <w:rPr>
                <w:rFonts w:ascii="华文仿宋" w:hAnsi="华文仿宋" w:eastAsia="华文仿宋"/>
                <w:sz w:val="28"/>
                <w:szCs w:val="28"/>
              </w:rPr>
              <w:br w:type="textWrapping"/>
            </w:r>
            <w:r>
              <w:rPr>
                <w:rFonts w:ascii="华文仿宋" w:hAnsi="华文仿宋" w:eastAsia="华文仿宋"/>
                <w:sz w:val="28"/>
                <w:szCs w:val="28"/>
              </w:rPr>
              <w:t>　　（四）</w:t>
            </w:r>
            <w:r>
              <w:rPr>
                <w:rFonts w:hint="eastAsia" w:ascii="华文仿宋" w:hAnsi="华文仿宋" w:eastAsia="华文仿宋"/>
                <w:sz w:val="28"/>
                <w:szCs w:val="28"/>
                <w:lang w:eastAsia="zh-CN"/>
              </w:rPr>
              <w:t>“一带一路”</w:t>
            </w:r>
            <w:r>
              <w:rPr>
                <w:rFonts w:ascii="华文仿宋" w:hAnsi="华文仿宋" w:eastAsia="华文仿宋"/>
                <w:sz w:val="28"/>
                <w:szCs w:val="28"/>
              </w:rPr>
              <w:t>虚拟生产与智能制造总部基地：虚拟生产是供应链发展的最高阶段，也是价值链最高环节。平台将重点打造</w:t>
            </w:r>
            <w:r>
              <w:rPr>
                <w:rFonts w:hint="eastAsia" w:ascii="华文仿宋" w:hAnsi="华文仿宋" w:eastAsia="华文仿宋"/>
                <w:sz w:val="28"/>
                <w:szCs w:val="28"/>
                <w:lang w:eastAsia="zh-CN"/>
              </w:rPr>
              <w:t>“一带一路”</w:t>
            </w:r>
            <w:r>
              <w:rPr>
                <w:rFonts w:ascii="华文仿宋" w:hAnsi="华文仿宋" w:eastAsia="华文仿宋"/>
                <w:sz w:val="28"/>
                <w:szCs w:val="28"/>
              </w:rPr>
              <w:t>虚拟生产基地以及</w:t>
            </w:r>
            <w:r>
              <w:rPr>
                <w:rFonts w:hint="eastAsia" w:ascii="华文仿宋" w:hAnsi="华文仿宋" w:eastAsia="华文仿宋"/>
                <w:sz w:val="28"/>
                <w:szCs w:val="28"/>
                <w:lang w:eastAsia="zh-CN"/>
              </w:rPr>
              <w:t>“一带一路”</w:t>
            </w:r>
            <w:r>
              <w:rPr>
                <w:rFonts w:ascii="华文仿宋" w:hAnsi="华文仿宋" w:eastAsia="华文仿宋"/>
                <w:sz w:val="28"/>
                <w:szCs w:val="28"/>
              </w:rPr>
              <w:t>智能制造总部基地，进一步提升深圳服务全球工业、尤其是智能制造的能力，提升福田服务实体经济的能力与水平，并进一步夯实金融、科技、供应链等行业的服务内容。
</w:t>
            </w:r>
            <w:r>
              <w:rPr>
                <w:rFonts w:ascii="华文仿宋" w:hAnsi="华文仿宋" w:eastAsia="华文仿宋"/>
                <w:sz w:val="28"/>
                <w:szCs w:val="28"/>
              </w:rPr>
              <w:br w:type="textWrapping"/>
            </w:r>
            <w:r>
              <w:rPr>
                <w:rFonts w:ascii="华文仿宋" w:hAnsi="华文仿宋" w:eastAsia="华文仿宋"/>
                <w:sz w:val="28"/>
                <w:szCs w:val="28"/>
              </w:rPr>
              <w:t>　　（五）</w:t>
            </w:r>
            <w:r>
              <w:rPr>
                <w:rFonts w:hint="eastAsia" w:ascii="华文仿宋" w:hAnsi="华文仿宋" w:eastAsia="华文仿宋"/>
                <w:sz w:val="28"/>
                <w:szCs w:val="28"/>
                <w:lang w:eastAsia="zh-CN"/>
              </w:rPr>
              <w:t>“一带一路”</w:t>
            </w:r>
            <w:r>
              <w:rPr>
                <w:rFonts w:ascii="华文仿宋" w:hAnsi="华文仿宋" w:eastAsia="华文仿宋"/>
                <w:sz w:val="28"/>
                <w:szCs w:val="28"/>
              </w:rPr>
              <w:t>进口商品展销中心：展销中心由生活馆、生产馆、福田馆、服务中心组成，涵盖无人超市/新零售、进口设备与原材料（备货）保税等展区，主要为生产型企业提供进口设备、电子料件以及工业MRO产品、中国智造3C类工业成品以及深圳手信、出口产品及文化创意与创客、工业设计产品等。
</w:t>
            </w:r>
            <w:r>
              <w:rPr>
                <w:rFonts w:ascii="华文仿宋" w:hAnsi="华文仿宋" w:eastAsia="华文仿宋"/>
                <w:sz w:val="28"/>
                <w:szCs w:val="28"/>
              </w:rPr>
              <w:br w:type="textWrapping"/>
            </w:r>
            <w:r>
              <w:rPr>
                <w:rFonts w:ascii="华文仿宋" w:hAnsi="华文仿宋" w:eastAsia="华文仿宋"/>
                <w:sz w:val="28"/>
                <w:szCs w:val="28"/>
              </w:rPr>
              <w:t>　　综上所述，规划建设博览中心将进一步解决实体经济难点和痛点问题，防止制造业外迁与产业转移，规避外向型经济结构风险，促进产业持续、健康、协调发展。</w:t>
            </w:r>
          </w:p>
        </w:tc>
      </w:tr>
    </w:tbl>
    <w:p/>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2、建议平台内容涵盖“一带一路”生产要素服务中心。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3、建议平台内容涵盖“一带一路”未来智造汇馆。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4、建议平台内容涵盖“一带一路”未来智造产品服务基地。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5、建议平台内容涵盖“一带一路”虚拟生产与智能制造总部基地。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6、建议平台内容涵盖“一带一路”进口商品展销中心。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6.</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1、规划建设博览中心等生产要素公共服务平台。</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8" w:hRule="atLeast"/>
        </w:trPr>
        <w:tc>
          <w:tcPr>
            <w:tcW w:w="8386" w:type="dxa"/>
            <w:gridSpan w:val="2"/>
          </w:tcPr>
          <w:p>
            <w:r>
              <w:rPr>
                <w:rFonts w:hint="eastAsia" w:ascii="黑体" w:hAnsi="黑体" w:eastAsia="黑体"/>
                <w:sz w:val="30"/>
                <w:szCs w:val="30"/>
              </w:rPr>
              <w:t>政协委员通讯录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张春华(男),深圳市朗华供应链服务有限公司董事长,13502832200,82789555,福田区深南大道6021号喜年中心B栋,</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承办单位通讯录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市发展和改革委员会(蔡巽楷),13544230760,88127378,福田区市民中心C3078,518035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w:t>
            </w:r>
          </w:p>
        </w:tc>
        <w:tc>
          <w:tcPr>
            <w:tcW w:w="7818" w:type="dxa"/>
          </w:tcPr>
          <w:p>
            <w:r>
              <w:rPr>
                <w:rFonts w:hint="eastAsia" w:ascii="仿宋_GB2312" w:eastAsia="仿宋_GB2312" w:cs="仿宋_GB2312"/>
                <w:sz w:val="28"/>
                <w:szCs w:val="28"/>
              </w:rPr>
              <w:t>市工业和信息化局(刘勇),18926098029,88121859,福田区福中三路市民中心三楼,518036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3.</w:t>
            </w:r>
          </w:p>
        </w:tc>
        <w:tc>
          <w:tcPr>
            <w:tcW w:w="7818" w:type="dxa"/>
          </w:tcPr>
          <w:p>
            <w:r>
              <w:rPr>
                <w:rFonts w:hint="eastAsia" w:ascii="仿宋_GB2312" w:eastAsia="仿宋_GB2312" w:cs="仿宋_GB2312"/>
                <w:sz w:val="28"/>
                <w:szCs w:val="28"/>
              </w:rPr>
              <w:t>市商务局(杨燕丝),15018508216,88107021,福田区福华一路大中华国际交易广场12楼,518000</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zkwMWRjZjBiNzk5YzVmYWFlYWYzZTQ2OTE0Y2YifQ=="/>
  </w:docVars>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 w:val="2FD00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文字 Char"/>
    <w:basedOn w:val="9"/>
    <w:link w:val="2"/>
    <w:semiHidden/>
    <w:uiPriority w:val="99"/>
  </w:style>
  <w:style w:type="character" w:customStyle="1" w:styleId="14">
    <w:name w:val="批注主题 Char"/>
    <w:basedOn w:val="13"/>
    <w:link w:val="6"/>
    <w:semiHidden/>
    <w:uiPriority w:val="99"/>
    <w:rPr>
      <w:b/>
      <w:bCs/>
    </w:rPr>
  </w:style>
  <w:style w:type="character" w:customStyle="1" w:styleId="15">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unnamedxuan</Company>
  <Pages>5</Pages>
  <Words>2117</Words>
  <Characters>2279</Characters>
  <Lines>1</Lines>
  <Paragraphs>1</Paragraphs>
  <TotalTime>1</TotalTime>
  <ScaleCrop>false</ScaleCrop>
  <LinksUpToDate>false</LinksUpToDate>
  <CharactersWithSpaces>2317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cp:lastModifiedBy>
  <dcterms:modified xsi:type="dcterms:W3CDTF">2022-11-15T01:56:35Z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8F1494C82FAC4F6F86717A78FDA5D6E3</vt:lpwstr>
  </property>
</Properties>
</file>