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362" w:rsidRDefault="00946362">
      <w:pPr>
        <w:jc w:val="center"/>
        <w:rPr>
          <w:rFonts w:ascii="宋体" w:eastAsia="宋体" w:hAnsi="宋体" w:hint="eastAsia"/>
          <w:b/>
          <w:bCs/>
          <w:sz w:val="44"/>
          <w:szCs w:val="44"/>
        </w:rPr>
      </w:pPr>
    </w:p>
    <w:p w:rsidR="00946362" w:rsidRDefault="00F37FF4">
      <w:pPr>
        <w:jc w:val="center"/>
        <w:rPr>
          <w:rFonts w:ascii="宋体" w:eastAsia="宋体" w:hAnsi="宋体"/>
          <w:b/>
          <w:color w:val="000000"/>
          <w:sz w:val="36"/>
          <w:szCs w:val="36"/>
        </w:rPr>
      </w:pPr>
      <w:r>
        <w:rPr>
          <w:rFonts w:ascii="宋体" w:eastAsia="宋体" w:hAnsi="宋体" w:hint="eastAsia"/>
          <w:b/>
          <w:color w:val="000000"/>
          <w:sz w:val="36"/>
          <w:szCs w:val="36"/>
        </w:rPr>
        <w:t>深圳市地方标准</w:t>
      </w:r>
    </w:p>
    <w:p w:rsidR="00946362" w:rsidRDefault="00946362">
      <w:pPr>
        <w:jc w:val="center"/>
        <w:rPr>
          <w:rFonts w:ascii="宋体" w:eastAsia="宋体" w:hAnsi="宋体"/>
          <w:b/>
          <w:color w:val="000000"/>
          <w:sz w:val="36"/>
          <w:szCs w:val="36"/>
        </w:rPr>
      </w:pPr>
    </w:p>
    <w:p w:rsidR="00946362" w:rsidRDefault="00946362">
      <w:pPr>
        <w:jc w:val="center"/>
        <w:rPr>
          <w:rFonts w:ascii="宋体" w:eastAsia="宋体" w:hAnsi="宋体"/>
          <w:b/>
          <w:color w:val="000000"/>
          <w:sz w:val="36"/>
          <w:szCs w:val="36"/>
        </w:rPr>
      </w:pPr>
    </w:p>
    <w:p w:rsidR="00946362" w:rsidRDefault="00946362">
      <w:pPr>
        <w:jc w:val="center"/>
        <w:rPr>
          <w:rFonts w:ascii="宋体" w:eastAsia="宋体" w:hAnsi="宋体"/>
          <w:b/>
          <w:color w:val="000000"/>
          <w:sz w:val="36"/>
          <w:szCs w:val="36"/>
        </w:rPr>
      </w:pPr>
    </w:p>
    <w:p w:rsidR="00946362" w:rsidRDefault="00F37FF4">
      <w:pPr>
        <w:jc w:val="center"/>
        <w:rPr>
          <w:rFonts w:ascii="宋体" w:eastAsia="宋体" w:hAnsi="宋体"/>
          <w:b/>
          <w:color w:val="000000"/>
          <w:sz w:val="36"/>
          <w:szCs w:val="36"/>
        </w:rPr>
      </w:pPr>
      <w:r>
        <w:rPr>
          <w:rFonts w:ascii="宋体" w:eastAsia="宋体" w:hAnsi="宋体" w:hint="eastAsia"/>
          <w:b/>
          <w:color w:val="000000"/>
          <w:sz w:val="36"/>
          <w:szCs w:val="36"/>
        </w:rPr>
        <w:t>智慧仓储存货监管技术规范</w:t>
      </w:r>
    </w:p>
    <w:p w:rsidR="00946362" w:rsidRDefault="00F37FF4">
      <w:pPr>
        <w:jc w:val="center"/>
        <w:rPr>
          <w:rFonts w:ascii="宋体" w:eastAsia="宋体" w:hAnsi="宋体"/>
          <w:b/>
          <w:color w:val="000000"/>
          <w:sz w:val="36"/>
          <w:szCs w:val="36"/>
        </w:rPr>
      </w:pPr>
      <w:r>
        <w:rPr>
          <w:rFonts w:ascii="宋体" w:eastAsia="宋体" w:hAnsi="宋体" w:hint="eastAsia"/>
          <w:b/>
          <w:color w:val="000000"/>
          <w:sz w:val="36"/>
          <w:szCs w:val="36"/>
        </w:rPr>
        <w:t>（征求意见稿）</w:t>
      </w:r>
    </w:p>
    <w:p w:rsidR="00946362" w:rsidRDefault="00946362">
      <w:pPr>
        <w:jc w:val="center"/>
        <w:rPr>
          <w:rFonts w:ascii="宋体" w:eastAsia="宋体" w:hAnsi="宋体"/>
          <w:b/>
          <w:color w:val="000000"/>
          <w:sz w:val="36"/>
          <w:szCs w:val="36"/>
        </w:rPr>
      </w:pPr>
    </w:p>
    <w:p w:rsidR="00946362" w:rsidRDefault="00946362">
      <w:pPr>
        <w:jc w:val="center"/>
        <w:rPr>
          <w:rFonts w:ascii="宋体" w:eastAsia="宋体" w:hAnsi="宋体"/>
          <w:b/>
          <w:color w:val="000000"/>
          <w:sz w:val="36"/>
          <w:szCs w:val="36"/>
        </w:rPr>
      </w:pPr>
    </w:p>
    <w:p w:rsidR="00946362" w:rsidRDefault="00F37FF4">
      <w:pPr>
        <w:jc w:val="center"/>
        <w:rPr>
          <w:rFonts w:ascii="宋体" w:eastAsia="宋体" w:hAnsi="宋体"/>
          <w:b/>
          <w:color w:val="000000"/>
          <w:sz w:val="36"/>
          <w:szCs w:val="36"/>
        </w:rPr>
      </w:pPr>
      <w:r>
        <w:rPr>
          <w:rFonts w:ascii="宋体" w:eastAsia="宋体" w:hAnsi="宋体" w:hint="eastAsia"/>
          <w:b/>
          <w:color w:val="000000"/>
          <w:sz w:val="36"/>
          <w:szCs w:val="36"/>
        </w:rPr>
        <w:t>编  制  说  明</w:t>
      </w:r>
    </w:p>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946362"/>
    <w:p w:rsidR="00946362" w:rsidRDefault="00F37FF4">
      <w:pPr>
        <w:jc w:val="center"/>
        <w:rPr>
          <w:rFonts w:ascii="宋体" w:eastAsia="宋体" w:hAnsi="宋体"/>
          <w:b/>
          <w:sz w:val="24"/>
          <w:szCs w:val="24"/>
        </w:rPr>
      </w:pPr>
      <w:bookmarkStart w:id="0" w:name="_Hlk119660767"/>
      <w:r>
        <w:rPr>
          <w:rFonts w:ascii="宋体" w:eastAsia="宋体" w:hAnsi="宋体" w:hint="eastAsia"/>
          <w:b/>
          <w:sz w:val="24"/>
          <w:szCs w:val="24"/>
        </w:rPr>
        <w:t>《</w:t>
      </w:r>
      <w:bookmarkStart w:id="1" w:name="_Hlk119923245"/>
      <w:r>
        <w:rPr>
          <w:rFonts w:ascii="宋体" w:eastAsia="宋体" w:hAnsi="宋体" w:hint="eastAsia"/>
          <w:b/>
          <w:sz w:val="24"/>
          <w:szCs w:val="24"/>
        </w:rPr>
        <w:t>智慧仓储存货监管技术规范</w:t>
      </w:r>
      <w:bookmarkEnd w:id="1"/>
      <w:r>
        <w:rPr>
          <w:rFonts w:ascii="宋体" w:eastAsia="宋体" w:hAnsi="宋体"/>
          <w:b/>
          <w:sz w:val="24"/>
          <w:szCs w:val="24"/>
        </w:rPr>
        <w:t>》</w:t>
      </w:r>
      <w:bookmarkEnd w:id="0"/>
      <w:r>
        <w:rPr>
          <w:rFonts w:ascii="宋体" w:eastAsia="宋体" w:hAnsi="宋体" w:hint="eastAsia"/>
          <w:b/>
          <w:sz w:val="24"/>
          <w:szCs w:val="24"/>
        </w:rPr>
        <w:t>起草小组</w:t>
      </w:r>
    </w:p>
    <w:p w:rsidR="00946362" w:rsidRDefault="00946362">
      <w:pPr>
        <w:jc w:val="center"/>
        <w:rPr>
          <w:rFonts w:ascii="宋体" w:eastAsia="宋体" w:hAnsi="宋体"/>
          <w:b/>
          <w:sz w:val="24"/>
          <w:szCs w:val="24"/>
        </w:rPr>
      </w:pPr>
    </w:p>
    <w:p w:rsidR="00946362" w:rsidRDefault="00F37FF4">
      <w:pPr>
        <w:jc w:val="center"/>
        <w:rPr>
          <w:rFonts w:ascii="宋体" w:eastAsia="宋体" w:hAnsi="宋体"/>
          <w:b/>
          <w:sz w:val="24"/>
          <w:szCs w:val="24"/>
        </w:rPr>
        <w:sectPr w:rsidR="00946362">
          <w:pgSz w:w="11906" w:h="16838"/>
          <w:pgMar w:top="1440" w:right="1800" w:bottom="1440" w:left="1800" w:header="851" w:footer="992" w:gutter="0"/>
          <w:cols w:space="425"/>
          <w:docGrid w:type="lines" w:linePitch="312"/>
        </w:sectPr>
      </w:pPr>
      <w:r>
        <w:rPr>
          <w:rFonts w:ascii="宋体" w:eastAsia="宋体" w:hAnsi="宋体"/>
          <w:b/>
          <w:sz w:val="24"/>
          <w:szCs w:val="24"/>
        </w:rPr>
        <w:t>2023</w:t>
      </w:r>
      <w:r>
        <w:rPr>
          <w:rFonts w:ascii="宋体" w:eastAsia="宋体" w:hAnsi="宋体" w:hint="eastAsia"/>
          <w:b/>
          <w:sz w:val="24"/>
          <w:szCs w:val="24"/>
        </w:rPr>
        <w:t>年</w:t>
      </w:r>
      <w:r>
        <w:rPr>
          <w:rFonts w:ascii="宋体" w:eastAsia="宋体" w:hAnsi="宋体"/>
          <w:b/>
          <w:sz w:val="24"/>
          <w:szCs w:val="24"/>
        </w:rPr>
        <w:t>2</w:t>
      </w:r>
      <w:r>
        <w:rPr>
          <w:rFonts w:ascii="宋体" w:eastAsia="宋体" w:hAnsi="宋体" w:hint="eastAsia"/>
          <w:b/>
          <w:sz w:val="24"/>
          <w:szCs w:val="24"/>
        </w:rPr>
        <w:t>月</w:t>
      </w:r>
    </w:p>
    <w:p w:rsidR="00946362" w:rsidRDefault="00F37FF4">
      <w:pPr>
        <w:jc w:val="left"/>
        <w:outlineLvl w:val="0"/>
        <w:rPr>
          <w:rFonts w:ascii="宋体" w:eastAsia="宋体" w:hAnsi="宋体"/>
          <w:b/>
          <w:bCs/>
          <w:sz w:val="32"/>
          <w:szCs w:val="32"/>
        </w:rPr>
      </w:pPr>
      <w:r>
        <w:rPr>
          <w:rFonts w:ascii="宋体" w:eastAsia="宋体" w:hAnsi="宋体" w:hint="eastAsia"/>
          <w:b/>
          <w:bCs/>
          <w:sz w:val="32"/>
          <w:szCs w:val="32"/>
        </w:rPr>
        <w:lastRenderedPageBreak/>
        <w:t>一、项目背景</w:t>
      </w:r>
    </w:p>
    <w:p w:rsidR="00946362" w:rsidRDefault="00F37FF4">
      <w:pPr>
        <w:ind w:firstLineChars="200" w:firstLine="482"/>
        <w:jc w:val="left"/>
        <w:outlineLvl w:val="1"/>
        <w:rPr>
          <w:rFonts w:ascii="宋体" w:eastAsia="宋体" w:hAnsi="宋体"/>
          <w:b/>
          <w:sz w:val="24"/>
          <w:szCs w:val="24"/>
        </w:rPr>
      </w:pPr>
      <w:r>
        <w:rPr>
          <w:rFonts w:ascii="宋体" w:eastAsia="宋体" w:hAnsi="宋体" w:hint="eastAsia"/>
          <w:b/>
          <w:sz w:val="24"/>
          <w:szCs w:val="24"/>
        </w:rPr>
        <w:t>（一）行业背景</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随着物联网、人工智能、区块链、大数据、5G等技术的发展，存货监管领域已经由传统的“监管员驻场控货”方式向“技术控货”方式转变，市场上出现了各种各样的存货监管技术解决方案，通过技术实现了货物的实时盘点、实时监控、自动核查、智能预警、数据存证等功能，提升了货主和金融机构对在库货物的管控能力。但是由于市场缺乏统一的存货监管技术标准和规范，现行厂商的设备标准、数据格式、技术接口各不相同，处于无序发展的状态，用户使用过程中存在对接复杂、管理繁琐、数据分析困难等问题，不利于整个行业存货监管能力的提升，因此需要制定一套存货监管技术规范体系。</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编制智慧仓储存货监管技术统一规范，对商品流通领域存货监管涉及的要素、场景、业务环节制定技术规范和标准，包括仓库、设备、货物权利、系统、数据等明确技术要求，从而建立覆盖全流程、全场景的技术规范体系。智慧仓储存货监管技术规范标准将服务于商品流通这个核心场景，为商品流通和配套金融服务提供基础技术支撑，促进存货监管业务向标准化和数字化方向发展。</w:t>
      </w:r>
    </w:p>
    <w:p w:rsidR="00946362" w:rsidRDefault="00F37FF4">
      <w:pPr>
        <w:ind w:firstLineChars="200" w:firstLine="482"/>
        <w:jc w:val="left"/>
        <w:outlineLvl w:val="1"/>
        <w:rPr>
          <w:rFonts w:ascii="宋体" w:eastAsia="宋体" w:hAnsi="宋体"/>
          <w:b/>
          <w:sz w:val="24"/>
          <w:szCs w:val="24"/>
        </w:rPr>
      </w:pPr>
      <w:r>
        <w:rPr>
          <w:rFonts w:ascii="宋体" w:eastAsia="宋体" w:hAnsi="宋体" w:hint="eastAsia"/>
          <w:b/>
          <w:sz w:val="24"/>
          <w:szCs w:val="24"/>
        </w:rPr>
        <w:t>（二）项目来源</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《智慧仓储存货监管技术规范》由</w:t>
      </w:r>
      <w:r>
        <w:rPr>
          <w:rFonts w:ascii="宋体" w:eastAsia="宋体" w:hAnsi="宋体"/>
          <w:sz w:val="24"/>
          <w:szCs w:val="24"/>
        </w:rPr>
        <w:t>深圳市标准技术研究院、中国信息通信研究院、中仓登数据服务有限公司</w:t>
      </w:r>
      <w:r w:rsidR="00786A79">
        <w:rPr>
          <w:rFonts w:ascii="宋体" w:eastAsia="宋体" w:hAnsi="宋体"/>
          <w:sz w:val="24"/>
          <w:szCs w:val="24"/>
        </w:rPr>
        <w:t>等</w:t>
      </w:r>
      <w:r>
        <w:rPr>
          <w:rFonts w:ascii="宋体" w:eastAsia="宋体" w:hAnsi="宋体"/>
          <w:sz w:val="24"/>
          <w:szCs w:val="24"/>
        </w:rPr>
        <w:t>提出，</w:t>
      </w:r>
      <w:r>
        <w:rPr>
          <w:rFonts w:ascii="宋体" w:eastAsia="宋体" w:hAnsi="宋体" w:hint="eastAsia"/>
          <w:sz w:val="24"/>
          <w:szCs w:val="24"/>
        </w:rPr>
        <w:t>由深圳市工业和信息化局归口。</w:t>
      </w:r>
    </w:p>
    <w:p w:rsidR="00946362" w:rsidRDefault="00F37FF4">
      <w:pPr>
        <w:ind w:firstLineChars="200" w:firstLine="482"/>
        <w:jc w:val="left"/>
        <w:outlineLvl w:val="1"/>
        <w:rPr>
          <w:rFonts w:ascii="宋体" w:eastAsia="宋体" w:hAnsi="宋体"/>
          <w:b/>
          <w:sz w:val="24"/>
          <w:szCs w:val="24"/>
        </w:rPr>
      </w:pPr>
      <w:r>
        <w:rPr>
          <w:rFonts w:ascii="宋体" w:eastAsia="宋体" w:hAnsi="宋体" w:hint="eastAsia"/>
          <w:b/>
          <w:sz w:val="24"/>
          <w:szCs w:val="24"/>
        </w:rPr>
        <w:t>（三）主要起草单位</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深圳市标准技术研究院、中国信息通信研究院、中仓登数据服务有限公司等。</w:t>
      </w:r>
    </w:p>
    <w:p w:rsidR="00946362" w:rsidRDefault="00F37FF4">
      <w:pPr>
        <w:jc w:val="left"/>
        <w:outlineLvl w:val="0"/>
        <w:rPr>
          <w:rFonts w:ascii="宋体" w:eastAsia="宋体" w:hAnsi="宋体"/>
          <w:b/>
          <w:bCs/>
          <w:sz w:val="32"/>
          <w:szCs w:val="32"/>
        </w:rPr>
      </w:pPr>
      <w:r>
        <w:rPr>
          <w:rFonts w:ascii="宋体" w:eastAsia="宋体" w:hAnsi="宋体" w:hint="eastAsia"/>
          <w:b/>
          <w:bCs/>
          <w:sz w:val="32"/>
          <w:szCs w:val="32"/>
        </w:rPr>
        <w:t>二、标准制定的必要性和意义</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本标准规定了存货监管体系技术规范，有助于推动存货监管行业健康发展。本标准规定了存货监管体系的构成和技术要求，明确存货确认、出入库、在库监管等监管业务环节和数据格式，提高存货人、仓储、物流、金融机构等各市场参与方的透明度，杜绝重复质押、虚开仓单等现象的发生，推动存货监管行业健康发展。</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本标准有利于推动物联网、区块链等数字经济关键技术应用，为供应链金融高质量发展提供保障。深圳作为中国供应链金融的发源地和集聚地，具备供应链金融发展的产业基础和强劲需求，存货监管技术规范体系涉及了物联网、区块链、大数据等技术和服务能力，实现供应链交易及信用生态的可视、可感、可控，不</w:t>
      </w:r>
      <w:r>
        <w:rPr>
          <w:rFonts w:ascii="宋体" w:eastAsia="宋体" w:hAnsi="宋体" w:hint="eastAsia"/>
          <w:sz w:val="24"/>
          <w:szCs w:val="24"/>
        </w:rPr>
        <w:lastRenderedPageBreak/>
        <w:t>仅能够提升深圳市商品交易的安全性和便捷性，还能为深圳本地企业发展供应链金融赋能。</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建设智慧仓储存货监管技术规范体系，有助于提升深圳市仓储物流领域的数字化水平。存货监管技术统一标准以物联网设备为基础，通过工业互联网标识的应用，规范存货监管设备的数字颗粒度，有助于将仓储物流领域的物联网设备资源纳入工业互联网体系，共同参与产业链、供应链协同发展。</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建设智慧仓储存货监管技术规范体系，有助于提升深圳市仓储物流领域硬件设备和软件数据的标准化水平，提升数据交换和数据处理的效率，参与各方数据能够实时透明、安全可溯，从而推动行业可信机制的建设。</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建设智慧仓储存货监管技术规范体系，有助于建立仓库、设备、货物权利、系统、数据的标准化水平，提升存货监管参与方信息归集、信息分析和监控预警能力，确保货物权属转移记录、盘点记录、日常巡查记录等信息有效性，降低参与方的法律风险和合规风险。</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建设智慧仓储存货监管技术规范体系，有助于金融服务机构开展存货融资、仓单融资业务时确保底层资产的真实性，提升对资产的掌控能力；深圳市是中国供应链金融的发源地，通过存货监管技术规范的制定，能够帮助深圳本地金融机构在存货融资和仓单融资领域占领制高点。</w:t>
      </w:r>
    </w:p>
    <w:p w:rsidR="00946362" w:rsidRDefault="00F37FF4">
      <w:pPr>
        <w:jc w:val="left"/>
        <w:outlineLvl w:val="0"/>
        <w:rPr>
          <w:rFonts w:ascii="宋体" w:eastAsia="宋体" w:hAnsi="宋体"/>
          <w:b/>
          <w:bCs/>
          <w:sz w:val="32"/>
          <w:szCs w:val="32"/>
        </w:rPr>
      </w:pPr>
      <w:r>
        <w:rPr>
          <w:rFonts w:ascii="宋体" w:eastAsia="宋体" w:hAnsi="宋体" w:hint="eastAsia"/>
          <w:b/>
          <w:bCs/>
          <w:sz w:val="32"/>
          <w:szCs w:val="32"/>
        </w:rPr>
        <w:t>三、主要工作过程</w:t>
      </w:r>
    </w:p>
    <w:p w:rsidR="00946362" w:rsidRDefault="00F37FF4">
      <w:pPr>
        <w:ind w:firstLineChars="200" w:firstLine="482"/>
        <w:jc w:val="left"/>
        <w:outlineLvl w:val="1"/>
        <w:rPr>
          <w:rFonts w:ascii="宋体" w:eastAsia="宋体" w:hAnsi="宋体"/>
          <w:b/>
          <w:sz w:val="24"/>
          <w:szCs w:val="24"/>
        </w:rPr>
      </w:pPr>
      <w:r>
        <w:rPr>
          <w:rFonts w:ascii="宋体" w:eastAsia="宋体" w:hAnsi="宋体" w:hint="eastAsia"/>
          <w:b/>
          <w:sz w:val="24"/>
          <w:szCs w:val="24"/>
        </w:rPr>
        <w:t>（一）立项阶段</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2022年1月，国家发展改革委印发《“十四五”现代流通体系建设规划》提出“健全供应链金融运行机制，通过推动相关技术标准建设和统计口径统一，防范虚增虚构应收账款、存货及重复抵质押行为。”</w:t>
      </w:r>
      <w:r>
        <w:rPr>
          <w:rFonts w:ascii="宋体" w:eastAsia="宋体" w:hAnsi="宋体" w:hint="eastAsia"/>
          <w:sz w:val="24"/>
          <w:szCs w:val="24"/>
        </w:rPr>
        <w:t>同年1月，国家发展改革委</w:t>
      </w:r>
      <w:r>
        <w:rPr>
          <w:rFonts w:ascii="宋体" w:eastAsia="宋体" w:hAnsi="宋体"/>
          <w:sz w:val="24"/>
          <w:szCs w:val="24"/>
        </w:rPr>
        <w:t>商务部联合发布《关于深圳建设中国特色社会主义先行示范区放宽市场准入若干特别措施的意见》围绕科技、金融、医疗、教育文化、交通及其他领域推出24条市场准入特别措施。其中明确“鼓励以区块链和物联网设备为基础，形成存货质押监管技术统一标准，利用新一代信息技术，确保货物权属转移记录等信息有效性。”基于此，深圳</w:t>
      </w:r>
      <w:r>
        <w:rPr>
          <w:rFonts w:ascii="宋体" w:eastAsia="宋体" w:hAnsi="宋体" w:hint="eastAsia"/>
          <w:sz w:val="24"/>
          <w:szCs w:val="24"/>
        </w:rPr>
        <w:t>市</w:t>
      </w:r>
      <w:r>
        <w:rPr>
          <w:rFonts w:ascii="宋体" w:eastAsia="宋体" w:hAnsi="宋体"/>
          <w:sz w:val="24"/>
          <w:szCs w:val="24"/>
        </w:rPr>
        <w:t>标准</w:t>
      </w:r>
      <w:r>
        <w:rPr>
          <w:rFonts w:ascii="宋体" w:eastAsia="宋体" w:hAnsi="宋体" w:hint="eastAsia"/>
          <w:sz w:val="24"/>
          <w:szCs w:val="24"/>
        </w:rPr>
        <w:t>技术研究</w:t>
      </w:r>
      <w:r>
        <w:rPr>
          <w:rFonts w:ascii="宋体" w:eastAsia="宋体" w:hAnsi="宋体"/>
          <w:sz w:val="24"/>
          <w:szCs w:val="24"/>
        </w:rPr>
        <w:t>院</w:t>
      </w:r>
      <w:r>
        <w:rPr>
          <w:rFonts w:ascii="宋体" w:eastAsia="宋体" w:hAnsi="宋体" w:hint="eastAsia"/>
          <w:sz w:val="24"/>
          <w:szCs w:val="24"/>
        </w:rPr>
        <w:t>、</w:t>
      </w:r>
      <w:r>
        <w:rPr>
          <w:rFonts w:ascii="宋体" w:eastAsia="宋体" w:hAnsi="宋体"/>
          <w:sz w:val="24"/>
          <w:szCs w:val="24"/>
        </w:rPr>
        <w:t>中国信息通信研究院、中仓登数据服务有限公司联合作为牵头单位，启动“</w:t>
      </w:r>
      <w:r>
        <w:rPr>
          <w:rFonts w:ascii="宋体" w:eastAsia="宋体" w:hAnsi="宋体" w:hint="eastAsia"/>
          <w:sz w:val="24"/>
          <w:szCs w:val="24"/>
        </w:rPr>
        <w:t>智慧仓储存货监管技术规范</w:t>
      </w:r>
      <w:r>
        <w:rPr>
          <w:rFonts w:ascii="宋体" w:eastAsia="宋体" w:hAnsi="宋体"/>
          <w:sz w:val="24"/>
          <w:szCs w:val="24"/>
        </w:rPr>
        <w:t>”标准</w:t>
      </w:r>
      <w:r>
        <w:rPr>
          <w:rFonts w:ascii="宋体" w:eastAsia="宋体" w:hAnsi="宋体" w:hint="eastAsia"/>
          <w:sz w:val="24"/>
          <w:szCs w:val="24"/>
        </w:rPr>
        <w:t>制定</w:t>
      </w:r>
      <w:r>
        <w:rPr>
          <w:rFonts w:ascii="宋体" w:eastAsia="宋体" w:hAnsi="宋体"/>
          <w:sz w:val="24"/>
          <w:szCs w:val="24"/>
        </w:rPr>
        <w:t>，通过对存货监管业务模式下的</w:t>
      </w:r>
      <w:r>
        <w:rPr>
          <w:rFonts w:ascii="宋体" w:eastAsia="宋体" w:hAnsi="宋体" w:hint="eastAsia"/>
          <w:sz w:val="24"/>
          <w:szCs w:val="24"/>
        </w:rPr>
        <w:t>关键</w:t>
      </w:r>
      <w:r>
        <w:rPr>
          <w:rFonts w:ascii="宋体" w:eastAsia="宋体" w:hAnsi="宋体"/>
          <w:sz w:val="24"/>
          <w:szCs w:val="24"/>
        </w:rPr>
        <w:t>业务环节、</w:t>
      </w:r>
      <w:r>
        <w:rPr>
          <w:rFonts w:ascii="宋体" w:eastAsia="宋体" w:hAnsi="宋体" w:hint="eastAsia"/>
          <w:sz w:val="24"/>
          <w:szCs w:val="24"/>
        </w:rPr>
        <w:t>仓库、</w:t>
      </w:r>
      <w:r>
        <w:rPr>
          <w:rFonts w:ascii="宋体" w:eastAsia="宋体" w:hAnsi="宋体"/>
          <w:sz w:val="24"/>
          <w:szCs w:val="24"/>
        </w:rPr>
        <w:t>设备、存货</w:t>
      </w:r>
      <w:r>
        <w:rPr>
          <w:rFonts w:ascii="宋体" w:eastAsia="宋体" w:hAnsi="宋体" w:hint="eastAsia"/>
          <w:sz w:val="24"/>
          <w:szCs w:val="24"/>
        </w:rPr>
        <w:t>权利</w:t>
      </w:r>
      <w:r>
        <w:rPr>
          <w:rFonts w:ascii="宋体" w:eastAsia="宋体" w:hAnsi="宋体"/>
          <w:sz w:val="24"/>
          <w:szCs w:val="24"/>
        </w:rPr>
        <w:t>、系统、数据等要素涉及</w:t>
      </w:r>
      <w:r>
        <w:rPr>
          <w:rFonts w:ascii="宋体" w:eastAsia="宋体" w:hAnsi="宋体" w:hint="eastAsia"/>
          <w:sz w:val="24"/>
          <w:szCs w:val="24"/>
        </w:rPr>
        <w:t>的</w:t>
      </w:r>
      <w:r>
        <w:rPr>
          <w:rFonts w:ascii="宋体" w:eastAsia="宋体" w:hAnsi="宋体"/>
          <w:sz w:val="24"/>
          <w:szCs w:val="24"/>
        </w:rPr>
        <w:t>技术，编制统一的技术规范和要求，形成存货监管业务技术体系标</w:t>
      </w:r>
      <w:r>
        <w:rPr>
          <w:rFonts w:ascii="宋体" w:eastAsia="宋体" w:hAnsi="宋体"/>
          <w:sz w:val="24"/>
          <w:szCs w:val="24"/>
        </w:rPr>
        <w:lastRenderedPageBreak/>
        <w:t>准化运作，促成建立以运用科技手段为主的数字化</w:t>
      </w:r>
      <w:r>
        <w:rPr>
          <w:rFonts w:ascii="宋体" w:eastAsia="宋体" w:hAnsi="宋体" w:hint="eastAsia"/>
          <w:sz w:val="24"/>
          <w:szCs w:val="24"/>
        </w:rPr>
        <w:t>风控体系，推动存货等动产资源权属“应确尽确”，为存货交易和融资提供便利。</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本项标准从202</w:t>
      </w:r>
      <w:r>
        <w:rPr>
          <w:rFonts w:ascii="宋体" w:eastAsia="宋体" w:hAnsi="宋体"/>
          <w:sz w:val="24"/>
          <w:szCs w:val="24"/>
        </w:rPr>
        <w:t>2</w:t>
      </w:r>
      <w:r>
        <w:rPr>
          <w:rFonts w:ascii="宋体" w:eastAsia="宋体" w:hAnsi="宋体" w:hint="eastAsia"/>
          <w:sz w:val="24"/>
          <w:szCs w:val="24"/>
        </w:rPr>
        <w:t>年开始启动，由</w:t>
      </w:r>
      <w:r>
        <w:rPr>
          <w:rFonts w:ascii="宋体" w:eastAsia="宋体" w:hAnsi="宋体"/>
          <w:sz w:val="24"/>
          <w:szCs w:val="24"/>
        </w:rPr>
        <w:t>深圳市标准技术研究院、中国信息通信研究院、中仓登数据服务有限公司</w:t>
      </w:r>
      <w:r>
        <w:rPr>
          <w:rFonts w:ascii="宋体" w:eastAsia="宋体" w:hAnsi="宋体" w:hint="eastAsia"/>
          <w:sz w:val="24"/>
          <w:szCs w:val="24"/>
        </w:rPr>
        <w:t>等联合成立标准起草小组，并召开讨论会，组织相关专家进行初步框架讨论，明确总体方向。经过广泛收集资料和认真研究相关法律法规、政策性文件以及其他标准相关资料，从存货监管业务关键过程、仓库技术要求、设备技术要求、存货权利技术要求、系统技术要求、数据技术要求等方面搭建标准框架初稿。</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022</w:t>
      </w:r>
      <w:r>
        <w:rPr>
          <w:rFonts w:ascii="宋体" w:eastAsia="宋体" w:hAnsi="宋体" w:hint="eastAsia"/>
          <w:sz w:val="24"/>
          <w:szCs w:val="24"/>
        </w:rPr>
        <w:t>年</w:t>
      </w:r>
      <w:r>
        <w:rPr>
          <w:rFonts w:ascii="宋体" w:eastAsia="宋体" w:hAnsi="宋体"/>
          <w:sz w:val="24"/>
          <w:szCs w:val="24"/>
        </w:rPr>
        <w:t>4</w:t>
      </w:r>
      <w:r>
        <w:rPr>
          <w:rFonts w:ascii="宋体" w:eastAsia="宋体" w:hAnsi="宋体" w:hint="eastAsia"/>
          <w:sz w:val="24"/>
          <w:szCs w:val="24"/>
        </w:rPr>
        <w:t>月，基于前期调研准备工作，深圳市标准技术研究院向深圳市市场监督管理局提交立项申请，并顺利通过。</w:t>
      </w:r>
    </w:p>
    <w:p w:rsidR="00946362" w:rsidRDefault="00F37FF4">
      <w:pPr>
        <w:ind w:firstLineChars="200" w:firstLine="482"/>
        <w:jc w:val="left"/>
        <w:outlineLvl w:val="1"/>
        <w:rPr>
          <w:rFonts w:ascii="宋体" w:eastAsia="宋体" w:hAnsi="宋体"/>
          <w:b/>
          <w:sz w:val="24"/>
          <w:szCs w:val="24"/>
        </w:rPr>
      </w:pPr>
      <w:r>
        <w:rPr>
          <w:rFonts w:ascii="宋体" w:eastAsia="宋体" w:hAnsi="宋体" w:hint="eastAsia"/>
          <w:b/>
          <w:sz w:val="24"/>
          <w:szCs w:val="24"/>
        </w:rPr>
        <w:t>（二）起草阶段</w:t>
      </w:r>
    </w:p>
    <w:p w:rsidR="00946362" w:rsidRDefault="00F37FF4">
      <w:pPr>
        <w:spacing w:line="440" w:lineRule="exact"/>
        <w:ind w:firstLineChars="200" w:firstLine="480"/>
        <w:rPr>
          <w:rFonts w:ascii="宋体" w:eastAsia="宋体" w:hAnsi="宋体"/>
          <w:sz w:val="24"/>
          <w:szCs w:val="24"/>
        </w:rPr>
      </w:pPr>
      <w:r>
        <w:rPr>
          <w:rFonts w:ascii="宋体" w:eastAsia="宋体" w:hAnsi="宋体"/>
          <w:sz w:val="24"/>
          <w:szCs w:val="24"/>
        </w:rPr>
        <w:t>2022年8月18日，由深圳市标准技术研究院、中国信息通信研究院、中仓登数据服务有限公司提出申请，由深圳市工业和信息化管理局作为行政主管部门推荐，经深圳市市场监督管理局批准立项的深圳市地方标准《智慧仓储存货监管技术规范》（以下简称“标准”）编制启动会于线上召开。深圳市标准技术研究院、中国信息通信研究院、中仓登数据服务有限公司</w:t>
      </w:r>
      <w:r>
        <w:rPr>
          <w:rFonts w:ascii="宋体" w:eastAsia="宋体" w:hAnsi="宋体" w:hint="eastAsia"/>
          <w:sz w:val="24"/>
          <w:szCs w:val="24"/>
        </w:rPr>
        <w:t>等参加标准编制启动会</w:t>
      </w:r>
      <w:r>
        <w:rPr>
          <w:rFonts w:ascii="宋体" w:eastAsia="宋体" w:hAnsi="宋体"/>
          <w:sz w:val="24"/>
          <w:szCs w:val="24"/>
        </w:rPr>
        <w:t>。</w:t>
      </w:r>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启动会确认该标准是落实深圳市先行示范区市场准入特别措施——“以新一代信息技术为基础，形成存货质押监管技术的统一标准。”的一大举措，标准将从商品流通这个核心场景出发，对存货监管涉及的要素、场景、业务环节的具体技术要求进行了规范，以建立覆盖存货监管全流程、全场景的技术规范体系。同时，参与单位也将组织相关项目资源，与标准结合，形成典型应用。</w:t>
      </w:r>
      <w:bookmarkStart w:id="2" w:name="_GoBack"/>
      <w:bookmarkEnd w:id="2"/>
    </w:p>
    <w:p w:rsidR="00946362" w:rsidRDefault="00F37FF4">
      <w:pPr>
        <w:spacing w:line="440" w:lineRule="exact"/>
        <w:ind w:firstLineChars="200" w:firstLine="480"/>
        <w:rPr>
          <w:rFonts w:ascii="宋体" w:eastAsia="宋体" w:hAnsi="宋体"/>
          <w:sz w:val="24"/>
          <w:szCs w:val="24"/>
        </w:rPr>
      </w:pPr>
      <w:r>
        <w:rPr>
          <w:rFonts w:ascii="宋体" w:eastAsia="宋体" w:hAnsi="宋体" w:hint="eastAsia"/>
          <w:sz w:val="24"/>
          <w:szCs w:val="24"/>
        </w:rPr>
        <w:t>本次启动会对标准制定背景、标准目的和意义进行了介绍，并宣布了标准编制的时间计划、任务分工；核心编制小组专家就标准框架、编制计划进行了讨论。与会专家对标准制定思路和内容进行了研讨，并根据框架内容对标准的下一步编制计划进行了确认。</w:t>
      </w:r>
    </w:p>
    <w:p w:rsidR="00946362" w:rsidRDefault="00F37FF4">
      <w:pPr>
        <w:spacing w:line="440" w:lineRule="exact"/>
        <w:ind w:firstLineChars="200" w:firstLine="480"/>
        <w:rPr>
          <w:rFonts w:ascii="楷体" w:eastAsia="楷体" w:hAnsi="楷体"/>
          <w:sz w:val="24"/>
          <w:szCs w:val="24"/>
        </w:rPr>
      </w:pPr>
      <w:r>
        <w:rPr>
          <w:rFonts w:ascii="宋体" w:eastAsia="宋体" w:hAnsi="宋体" w:hint="eastAsia"/>
          <w:sz w:val="24"/>
          <w:szCs w:val="24"/>
        </w:rPr>
        <w:t>202</w:t>
      </w:r>
      <w:r>
        <w:rPr>
          <w:rFonts w:ascii="宋体" w:eastAsia="宋体" w:hAnsi="宋体"/>
          <w:sz w:val="24"/>
          <w:szCs w:val="24"/>
        </w:rPr>
        <w:t>2</w:t>
      </w:r>
      <w:r>
        <w:rPr>
          <w:rFonts w:ascii="宋体" w:eastAsia="宋体" w:hAnsi="宋体" w:hint="eastAsia"/>
          <w:sz w:val="24"/>
          <w:szCs w:val="24"/>
        </w:rPr>
        <w:t>年</w:t>
      </w:r>
      <w:r>
        <w:rPr>
          <w:rFonts w:ascii="宋体" w:eastAsia="宋体" w:hAnsi="宋体"/>
          <w:sz w:val="24"/>
          <w:szCs w:val="24"/>
        </w:rPr>
        <w:t>8</w:t>
      </w:r>
      <w:r>
        <w:rPr>
          <w:rFonts w:ascii="宋体" w:eastAsia="宋体" w:hAnsi="宋体" w:hint="eastAsia"/>
          <w:sz w:val="24"/>
          <w:szCs w:val="24"/>
        </w:rPr>
        <w:t>月至202</w:t>
      </w:r>
      <w:r>
        <w:rPr>
          <w:rFonts w:ascii="宋体" w:eastAsia="宋体" w:hAnsi="宋体"/>
          <w:sz w:val="24"/>
          <w:szCs w:val="24"/>
        </w:rPr>
        <w:t>2</w:t>
      </w:r>
      <w:r>
        <w:rPr>
          <w:rFonts w:ascii="宋体" w:eastAsia="宋体" w:hAnsi="宋体" w:hint="eastAsia"/>
          <w:sz w:val="24"/>
          <w:szCs w:val="24"/>
        </w:rPr>
        <w:t>年</w:t>
      </w:r>
      <w:r>
        <w:rPr>
          <w:rFonts w:ascii="宋体" w:eastAsia="宋体" w:hAnsi="宋体"/>
          <w:sz w:val="24"/>
          <w:szCs w:val="24"/>
        </w:rPr>
        <w:t>11</w:t>
      </w:r>
      <w:r>
        <w:rPr>
          <w:rFonts w:ascii="宋体" w:eastAsia="宋体" w:hAnsi="宋体" w:hint="eastAsia"/>
          <w:sz w:val="24"/>
          <w:szCs w:val="24"/>
        </w:rPr>
        <w:t>月，标准起草小组根据启动会相关专家指导意见结合标准初步框架，分工起草标准各模块内容，并于2</w:t>
      </w:r>
      <w:r>
        <w:rPr>
          <w:rFonts w:ascii="宋体" w:eastAsia="宋体" w:hAnsi="宋体"/>
          <w:sz w:val="24"/>
          <w:szCs w:val="24"/>
        </w:rPr>
        <w:t>022</w:t>
      </w:r>
      <w:r>
        <w:rPr>
          <w:rFonts w:ascii="宋体" w:eastAsia="宋体" w:hAnsi="宋体" w:hint="eastAsia"/>
          <w:sz w:val="24"/>
          <w:szCs w:val="24"/>
        </w:rPr>
        <w:t>年1</w:t>
      </w:r>
      <w:r>
        <w:rPr>
          <w:rFonts w:ascii="宋体" w:eastAsia="宋体" w:hAnsi="宋体"/>
          <w:sz w:val="24"/>
          <w:szCs w:val="24"/>
        </w:rPr>
        <w:t>1</w:t>
      </w:r>
      <w:r>
        <w:rPr>
          <w:rFonts w:ascii="宋体" w:eastAsia="宋体" w:hAnsi="宋体" w:hint="eastAsia"/>
          <w:sz w:val="24"/>
          <w:szCs w:val="24"/>
        </w:rPr>
        <w:t>月形成标准初稿。经过采纳各专家意见对标准初稿进行修改完善，形成标准征求意见稿初稿，并在标准起草小组内部再次征求意见后，根据起草小组成员意见修改后，最终形成征求意见稿。</w:t>
      </w:r>
    </w:p>
    <w:p w:rsidR="00946362" w:rsidRDefault="00F37FF4">
      <w:pPr>
        <w:jc w:val="left"/>
        <w:outlineLvl w:val="0"/>
        <w:rPr>
          <w:rFonts w:ascii="宋体" w:eastAsia="宋体" w:hAnsi="宋体"/>
          <w:b/>
          <w:bCs/>
          <w:sz w:val="32"/>
          <w:szCs w:val="32"/>
        </w:rPr>
      </w:pPr>
      <w:r>
        <w:rPr>
          <w:rFonts w:ascii="宋体" w:eastAsia="宋体" w:hAnsi="宋体" w:hint="eastAsia"/>
          <w:b/>
          <w:bCs/>
          <w:sz w:val="32"/>
          <w:szCs w:val="32"/>
        </w:rPr>
        <w:t>四、标准编制原则</w:t>
      </w:r>
    </w:p>
    <w:p w:rsidR="00946362" w:rsidRDefault="00F37FF4">
      <w:pPr>
        <w:spacing w:line="440" w:lineRule="exact"/>
        <w:ind w:firstLine="420"/>
        <w:jc w:val="left"/>
        <w:rPr>
          <w:rFonts w:ascii="宋体" w:eastAsia="宋体" w:hAnsi="宋体"/>
          <w:sz w:val="24"/>
          <w:szCs w:val="24"/>
        </w:rPr>
      </w:pPr>
      <w:r>
        <w:rPr>
          <w:rFonts w:ascii="宋体" w:eastAsia="宋体" w:hAnsi="宋体" w:hint="eastAsia"/>
          <w:sz w:val="24"/>
          <w:szCs w:val="24"/>
        </w:rPr>
        <w:lastRenderedPageBreak/>
        <w:t>本标准在起草过程中，主要遵从以下原则：</w:t>
      </w:r>
    </w:p>
    <w:p w:rsidR="00946362" w:rsidRDefault="00F37FF4">
      <w:pPr>
        <w:pStyle w:val="a5"/>
        <w:numPr>
          <w:ilvl w:val="0"/>
          <w:numId w:val="1"/>
        </w:numPr>
        <w:spacing w:line="440" w:lineRule="exact"/>
        <w:ind w:firstLineChars="0"/>
        <w:jc w:val="left"/>
        <w:rPr>
          <w:rFonts w:ascii="宋体" w:eastAsia="宋体" w:hAnsi="宋体"/>
          <w:sz w:val="24"/>
          <w:szCs w:val="24"/>
        </w:rPr>
      </w:pPr>
      <w:r>
        <w:rPr>
          <w:rFonts w:ascii="宋体" w:eastAsia="宋体" w:hAnsi="宋体" w:hint="eastAsia"/>
          <w:sz w:val="24"/>
          <w:szCs w:val="24"/>
        </w:rPr>
        <w:t>具备先进性和独特性</w:t>
      </w:r>
    </w:p>
    <w:p w:rsidR="00946362" w:rsidRDefault="00F37FF4">
      <w:pPr>
        <w:spacing w:line="440" w:lineRule="exact"/>
        <w:ind w:firstLine="420"/>
        <w:jc w:val="left"/>
        <w:rPr>
          <w:rFonts w:ascii="宋体" w:eastAsia="宋体" w:hAnsi="宋体"/>
          <w:sz w:val="24"/>
          <w:szCs w:val="24"/>
        </w:rPr>
      </w:pPr>
      <w:r>
        <w:rPr>
          <w:rFonts w:ascii="宋体" w:eastAsia="宋体" w:hAnsi="宋体" w:hint="eastAsia"/>
          <w:sz w:val="24"/>
          <w:szCs w:val="24"/>
        </w:rPr>
        <w:t>在标准起草过程中，要将存货监管领域最新的技术要求，实施手段纳入该标准中，总结国内外最新实际经验，使该标准具备国内领先水平，要突出该标准的特性，与其他类似标准的不同之处。</w:t>
      </w:r>
    </w:p>
    <w:p w:rsidR="00946362" w:rsidRDefault="00F37FF4">
      <w:pPr>
        <w:pStyle w:val="a5"/>
        <w:numPr>
          <w:ilvl w:val="0"/>
          <w:numId w:val="1"/>
        </w:numPr>
        <w:spacing w:line="440" w:lineRule="exact"/>
        <w:ind w:firstLineChars="0"/>
        <w:jc w:val="left"/>
        <w:rPr>
          <w:rFonts w:ascii="宋体" w:eastAsia="宋体" w:hAnsi="宋体"/>
          <w:sz w:val="24"/>
          <w:szCs w:val="24"/>
        </w:rPr>
      </w:pPr>
      <w:r>
        <w:rPr>
          <w:rFonts w:ascii="宋体" w:eastAsia="宋体" w:hAnsi="宋体" w:hint="eastAsia"/>
          <w:sz w:val="24"/>
          <w:szCs w:val="24"/>
        </w:rPr>
        <w:t>符合深圳地方特色</w:t>
      </w:r>
    </w:p>
    <w:p w:rsidR="00946362" w:rsidRDefault="00F37FF4">
      <w:pPr>
        <w:spacing w:line="440" w:lineRule="exact"/>
        <w:ind w:firstLine="420"/>
        <w:rPr>
          <w:rFonts w:ascii="宋体" w:eastAsia="宋体" w:hAnsi="宋体"/>
          <w:sz w:val="24"/>
          <w:szCs w:val="24"/>
        </w:rPr>
      </w:pPr>
      <w:r>
        <w:rPr>
          <w:rFonts w:ascii="宋体" w:eastAsia="宋体" w:hAnsi="宋体" w:hint="eastAsia"/>
          <w:sz w:val="24"/>
          <w:szCs w:val="24"/>
        </w:rPr>
        <w:t>在标准起草过程中，应结合深圳市地方经济特色、产业形态和政策指导，特别是深圳当地企业存货监管的技术水平，制定的标准应有助于推动深圳当地存货监管领域的发展。</w:t>
      </w:r>
    </w:p>
    <w:p w:rsidR="00946362" w:rsidRDefault="00F37FF4">
      <w:pPr>
        <w:pStyle w:val="a5"/>
        <w:numPr>
          <w:ilvl w:val="0"/>
          <w:numId w:val="1"/>
        </w:numPr>
        <w:spacing w:line="440" w:lineRule="exact"/>
        <w:ind w:firstLineChars="0"/>
        <w:jc w:val="left"/>
        <w:rPr>
          <w:rFonts w:ascii="宋体" w:eastAsia="宋体" w:hAnsi="宋体"/>
          <w:sz w:val="24"/>
          <w:szCs w:val="24"/>
        </w:rPr>
      </w:pPr>
      <w:r>
        <w:rPr>
          <w:rFonts w:ascii="宋体" w:eastAsia="宋体" w:hAnsi="宋体" w:hint="eastAsia"/>
          <w:sz w:val="24"/>
          <w:szCs w:val="24"/>
        </w:rPr>
        <w:t>具备普适性，易落地实施</w:t>
      </w:r>
    </w:p>
    <w:p w:rsidR="00946362" w:rsidRDefault="00F37FF4">
      <w:pPr>
        <w:spacing w:line="440" w:lineRule="exact"/>
        <w:ind w:firstLine="420"/>
        <w:jc w:val="left"/>
        <w:rPr>
          <w:rFonts w:ascii="宋体" w:eastAsia="宋体" w:hAnsi="宋体"/>
          <w:sz w:val="24"/>
          <w:szCs w:val="24"/>
        </w:rPr>
      </w:pPr>
      <w:r>
        <w:rPr>
          <w:rFonts w:ascii="宋体" w:eastAsia="宋体" w:hAnsi="宋体" w:hint="eastAsia"/>
          <w:sz w:val="24"/>
          <w:szCs w:val="24"/>
        </w:rPr>
        <w:t>本标准应充分考虑到存货监管不同层面技术手段多样性特点，相关规则符合该行业的普遍认识，考虑企业信息化系</w:t>
      </w:r>
      <w:r>
        <w:rPr>
          <w:rFonts w:ascii="宋体" w:eastAsia="宋体" w:hAnsi="宋体"/>
          <w:sz w:val="24"/>
          <w:szCs w:val="24"/>
        </w:rPr>
        <w:t>统建设和标识实际应用现状，设计相对全面、合理、</w:t>
      </w:r>
      <w:r>
        <w:rPr>
          <w:rFonts w:ascii="宋体" w:eastAsia="宋体" w:hAnsi="宋体" w:hint="eastAsia"/>
          <w:sz w:val="24"/>
          <w:szCs w:val="24"/>
        </w:rPr>
        <w:t>可操作性的标准</w:t>
      </w:r>
      <w:r>
        <w:rPr>
          <w:rFonts w:ascii="宋体" w:eastAsia="宋体" w:hAnsi="宋体"/>
          <w:sz w:val="24"/>
          <w:szCs w:val="24"/>
        </w:rPr>
        <w:t>。</w:t>
      </w:r>
    </w:p>
    <w:p w:rsidR="00946362" w:rsidRDefault="00F37FF4">
      <w:pPr>
        <w:spacing w:beforeLines="50" w:before="156" w:afterLines="50" w:after="156"/>
        <w:jc w:val="left"/>
        <w:outlineLvl w:val="0"/>
        <w:rPr>
          <w:rFonts w:ascii="宋体" w:eastAsia="宋体" w:hAnsi="宋体"/>
          <w:b/>
          <w:bCs/>
          <w:sz w:val="32"/>
          <w:szCs w:val="32"/>
        </w:rPr>
      </w:pPr>
      <w:r>
        <w:rPr>
          <w:rFonts w:ascii="宋体" w:eastAsia="宋体" w:hAnsi="宋体" w:hint="eastAsia"/>
          <w:b/>
          <w:bCs/>
          <w:sz w:val="32"/>
          <w:szCs w:val="32"/>
        </w:rPr>
        <w:t>五、标准主要内容及确定依据</w:t>
      </w:r>
    </w:p>
    <w:p w:rsidR="00946362" w:rsidRDefault="00F37FF4">
      <w:pPr>
        <w:pStyle w:val="a7"/>
        <w:spacing w:line="440" w:lineRule="exact"/>
        <w:ind w:firstLine="480"/>
        <w:outlineLvl w:val="1"/>
        <w:rPr>
          <w:rFonts w:hAnsi="宋体" w:cstheme="minorBidi"/>
          <w:kern w:val="2"/>
          <w:sz w:val="24"/>
          <w:szCs w:val="24"/>
        </w:rPr>
      </w:pPr>
      <w:r>
        <w:rPr>
          <w:rFonts w:hAnsi="宋体" w:cstheme="minorBidi" w:hint="eastAsia"/>
          <w:kern w:val="2"/>
          <w:sz w:val="24"/>
          <w:szCs w:val="24"/>
        </w:rPr>
        <w:t>（一）范围</w:t>
      </w:r>
    </w:p>
    <w:p w:rsidR="00946362" w:rsidRDefault="00F37FF4" w:rsidP="00407420">
      <w:pPr>
        <w:ind w:firstLineChars="200" w:firstLine="480"/>
        <w:rPr>
          <w:rFonts w:ascii="宋体" w:eastAsia="宋体" w:hAnsi="宋体"/>
          <w:sz w:val="24"/>
          <w:szCs w:val="24"/>
        </w:rPr>
      </w:pPr>
      <w:r>
        <w:rPr>
          <w:rFonts w:ascii="宋体" w:eastAsia="宋体" w:hAnsi="宋体" w:hint="eastAsia"/>
          <w:sz w:val="24"/>
          <w:szCs w:val="24"/>
        </w:rPr>
        <w:t>本标准对商品流通场景下存货监管涉及的要素、场景、业务环节所涉及的技术规范和要求进行统一的规范和约束，从而建立覆盖全流程、全场景的技术规范体系，促进存货监管业务标准化及数字化，进而形成可持续的数字化存货监管风控体系。本标准范围包含存货监管场景下的关键业务过程、仓库技术要求、设备技术要求、存货权利技术要求、系统技术要求、数据技术要求。</w:t>
      </w:r>
    </w:p>
    <w:p w:rsidR="00946362" w:rsidRDefault="00F37FF4">
      <w:pPr>
        <w:rPr>
          <w:rFonts w:ascii="宋体" w:eastAsia="宋体" w:hAnsi="宋体"/>
          <w:sz w:val="24"/>
          <w:szCs w:val="24"/>
        </w:rPr>
      </w:pPr>
      <w:r>
        <w:rPr>
          <w:rFonts w:ascii="宋体" w:eastAsia="宋体" w:hAnsi="宋体" w:hint="eastAsia"/>
          <w:sz w:val="24"/>
          <w:szCs w:val="24"/>
        </w:rPr>
        <w:t>确定依据：结合企业调研和行业专家意见，经过标准起草小组讨论确定。</w:t>
      </w:r>
    </w:p>
    <w:p w:rsidR="00946362" w:rsidRDefault="00F37FF4">
      <w:pPr>
        <w:pStyle w:val="a7"/>
        <w:numPr>
          <w:ilvl w:val="0"/>
          <w:numId w:val="2"/>
        </w:numPr>
        <w:spacing w:line="440" w:lineRule="exact"/>
        <w:ind w:firstLineChars="0"/>
        <w:outlineLvl w:val="1"/>
        <w:rPr>
          <w:rFonts w:hAnsi="宋体"/>
          <w:sz w:val="24"/>
          <w:szCs w:val="24"/>
        </w:rPr>
      </w:pPr>
      <w:r>
        <w:rPr>
          <w:rFonts w:hAnsi="宋体" w:hint="eastAsia"/>
          <w:sz w:val="24"/>
          <w:szCs w:val="24"/>
        </w:rPr>
        <w:t>业务关键过程</w:t>
      </w:r>
    </w:p>
    <w:p w:rsidR="00946362" w:rsidRDefault="00F37FF4">
      <w:pPr>
        <w:pStyle w:val="a7"/>
        <w:spacing w:line="440" w:lineRule="exact"/>
        <w:ind w:firstLineChars="0" w:firstLine="420"/>
        <w:rPr>
          <w:rFonts w:hAnsi="宋体"/>
          <w:sz w:val="24"/>
          <w:szCs w:val="24"/>
        </w:rPr>
      </w:pPr>
      <w:r>
        <w:rPr>
          <w:rFonts w:hAnsi="宋体" w:hint="eastAsia"/>
          <w:sz w:val="24"/>
          <w:szCs w:val="24"/>
        </w:rPr>
        <w:t>关键业务过程指存货监管过程中所涉及的重要业务环节或保证权利存续的重要过程，智慧仓储存货监管涉及的关键业务过程包括货物流通场景下的业务关键过程和存货监管场景下的业务关键过程。货物流通场景下的业务关键过程包括验收入库、在库管理、出库；存货监管场景下的业务关键过程包括质物/抵押物确认、质押监管项下交付占有、担保物权登记、存货/仓单登记、在库管理、抵/质押解除、出库、异常预警。</w:t>
      </w:r>
    </w:p>
    <w:p w:rsidR="00946362" w:rsidRDefault="00F37FF4">
      <w:pPr>
        <w:rPr>
          <w:rFonts w:ascii="宋体" w:eastAsia="宋体" w:hAnsi="宋体"/>
          <w:sz w:val="24"/>
          <w:szCs w:val="24"/>
        </w:rPr>
      </w:pPr>
      <w:r>
        <w:rPr>
          <w:rFonts w:ascii="宋体" w:eastAsia="宋体" w:hAnsi="宋体" w:hint="eastAsia"/>
          <w:sz w:val="24"/>
          <w:szCs w:val="24"/>
        </w:rPr>
        <w:t>确定依据：根据企业存货监管业务流程确认重点业务环节，结合行业专家提出的意见，经过标准起草小组讨论确定。</w:t>
      </w:r>
    </w:p>
    <w:p w:rsidR="00946362" w:rsidRDefault="00F37FF4">
      <w:pPr>
        <w:pStyle w:val="a7"/>
        <w:numPr>
          <w:ilvl w:val="0"/>
          <w:numId w:val="2"/>
        </w:numPr>
        <w:spacing w:line="440" w:lineRule="exact"/>
        <w:ind w:firstLineChars="0"/>
        <w:outlineLvl w:val="1"/>
        <w:rPr>
          <w:rFonts w:hAnsi="宋体"/>
          <w:sz w:val="24"/>
          <w:szCs w:val="24"/>
        </w:rPr>
      </w:pPr>
      <w:r>
        <w:rPr>
          <w:rFonts w:hAnsi="宋体" w:hint="eastAsia"/>
          <w:sz w:val="24"/>
          <w:szCs w:val="24"/>
        </w:rPr>
        <w:lastRenderedPageBreak/>
        <w:t>仓库技术要求</w:t>
      </w:r>
    </w:p>
    <w:p w:rsidR="00946362" w:rsidRDefault="00F37FF4">
      <w:pPr>
        <w:pStyle w:val="a7"/>
        <w:spacing w:line="440" w:lineRule="exact"/>
        <w:ind w:firstLineChars="0" w:firstLine="420"/>
        <w:rPr>
          <w:rFonts w:hAnsi="宋体"/>
          <w:sz w:val="24"/>
          <w:szCs w:val="24"/>
        </w:rPr>
      </w:pPr>
      <w:r>
        <w:rPr>
          <w:rFonts w:hAnsi="宋体" w:hint="eastAsia"/>
          <w:sz w:val="24"/>
          <w:szCs w:val="24"/>
        </w:rPr>
        <w:t>仓库要素清晰可查是存货监管过程中的重要一环，也是实现相关权利的必要保证，仓库技术要求章节主要规定了存货监管发生的场景，即仓库层面所涉及的权属信息、运营信息、标识信息应清晰、明确且可查，包括仓库权属信息、仓库与相关业务主体的运营关系清晰、仓库可识别、仓库信息描述清晰、仓库物理条件。</w:t>
      </w:r>
    </w:p>
    <w:p w:rsidR="00946362" w:rsidRDefault="00F37FF4">
      <w:pPr>
        <w:spacing w:line="440" w:lineRule="exact"/>
        <w:ind w:firstLine="420"/>
        <w:jc w:val="left"/>
        <w:rPr>
          <w:rFonts w:ascii="宋体" w:eastAsia="宋体" w:hAnsi="宋体"/>
          <w:sz w:val="24"/>
          <w:szCs w:val="24"/>
        </w:rPr>
      </w:pPr>
      <w:r>
        <w:rPr>
          <w:rFonts w:ascii="宋体" w:eastAsia="宋体" w:hAnsi="宋体" w:hint="eastAsia"/>
          <w:sz w:val="24"/>
          <w:szCs w:val="24"/>
        </w:rPr>
        <w:t>确定依据：根据行业共识，结合行业专家提出的意见，经过标准起草小组讨论确定。</w:t>
      </w:r>
    </w:p>
    <w:p w:rsidR="00946362" w:rsidRDefault="00F37FF4">
      <w:pPr>
        <w:pStyle w:val="a7"/>
        <w:numPr>
          <w:ilvl w:val="0"/>
          <w:numId w:val="2"/>
        </w:numPr>
        <w:spacing w:line="440" w:lineRule="exact"/>
        <w:ind w:firstLineChars="0"/>
        <w:outlineLvl w:val="1"/>
        <w:rPr>
          <w:rFonts w:hAnsi="宋体"/>
          <w:sz w:val="24"/>
          <w:szCs w:val="24"/>
        </w:rPr>
      </w:pPr>
      <w:r>
        <w:rPr>
          <w:rFonts w:hAnsi="宋体" w:hint="eastAsia"/>
          <w:sz w:val="24"/>
          <w:szCs w:val="24"/>
        </w:rPr>
        <w:t>存货监管设备技术要求</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存货监管设备技术要求规定了存货监管设备应具备和宜具备的功能要求、规格要求、唯一性要求、关联性要求、安全性要求，在功能层面明确了存货监管设备应具备采集存货监管相关数据的基础功能。在规格层面规定了存货监管业务所有场景下使用的设备规格应满足的基本要求；在安全性、实时性要求较高的场景下，使用的设备规格宜满足的推荐要求。</w:t>
      </w:r>
    </w:p>
    <w:p w:rsidR="00946362" w:rsidRDefault="00F37FF4">
      <w:pPr>
        <w:spacing w:line="440" w:lineRule="exact"/>
        <w:ind w:firstLine="420"/>
        <w:jc w:val="left"/>
        <w:rPr>
          <w:rFonts w:ascii="宋体" w:eastAsia="宋体" w:hAnsi="宋体"/>
          <w:sz w:val="24"/>
          <w:szCs w:val="24"/>
        </w:rPr>
      </w:pPr>
      <w:r>
        <w:rPr>
          <w:rFonts w:ascii="宋体" w:eastAsia="宋体" w:hAnsi="宋体" w:hint="eastAsia"/>
          <w:sz w:val="24"/>
          <w:szCs w:val="24"/>
        </w:rPr>
        <w:t>确定依据：结合目前国内、国际的先进经验，经过行业专家和标准起草小组讨论确认。</w:t>
      </w:r>
    </w:p>
    <w:p w:rsidR="00946362" w:rsidRDefault="00F37FF4">
      <w:pPr>
        <w:pStyle w:val="a7"/>
        <w:numPr>
          <w:ilvl w:val="0"/>
          <w:numId w:val="2"/>
        </w:numPr>
        <w:spacing w:line="440" w:lineRule="exact"/>
        <w:ind w:firstLineChars="0"/>
        <w:outlineLvl w:val="1"/>
        <w:rPr>
          <w:rFonts w:hAnsi="宋体"/>
          <w:sz w:val="24"/>
          <w:szCs w:val="24"/>
        </w:rPr>
      </w:pPr>
      <w:r>
        <w:rPr>
          <w:rFonts w:hAnsi="宋体" w:hint="eastAsia"/>
          <w:sz w:val="24"/>
          <w:szCs w:val="24"/>
        </w:rPr>
        <w:t>存货权利技术要求</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存货权利技术要求包括存货权利关系管理、存货特定化数据要求、仓单项下仓储物特定化数据要求；存货权利关系管理中，标准重点规范了存货权利数据的存证要求、存货权利的登记公示、仓单权利的登记公示。除此之外，该章节也从不同维度规范了存货特定化的数据要求和仓单项下仓储物特定化数据要求。</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确定依据：根据行业共识，结合行业专家提出的意见，经过标准起草小组讨论确定。</w:t>
      </w:r>
    </w:p>
    <w:p w:rsidR="00946362" w:rsidRDefault="00F37FF4">
      <w:pPr>
        <w:pStyle w:val="a7"/>
        <w:numPr>
          <w:ilvl w:val="0"/>
          <w:numId w:val="2"/>
        </w:numPr>
        <w:spacing w:line="440" w:lineRule="exact"/>
        <w:ind w:firstLineChars="0"/>
        <w:rPr>
          <w:rFonts w:hAnsi="宋体"/>
          <w:sz w:val="24"/>
          <w:szCs w:val="24"/>
        </w:rPr>
      </w:pPr>
      <w:r>
        <w:rPr>
          <w:rFonts w:hAnsi="宋体" w:hint="eastAsia"/>
          <w:sz w:val="24"/>
          <w:szCs w:val="24"/>
        </w:rPr>
        <w:t>存货监管系统技术要求</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存货监管系统技术要求规定了感知层、边缘层、接入层、平台层、应用层五个层面系统的功能要求，同时对系统的性能要求、可靠性、易用性、安全性、可维护性、接口规范及智慧监管能力建设要求等方面提出规范性要求，明确哪些要求是应达到的，哪些要求是宜达到的。</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确认依据：结合行业专家提出的意见，经过标准起草小组讨论确定。</w:t>
      </w:r>
    </w:p>
    <w:p w:rsidR="00946362" w:rsidRDefault="00F37FF4">
      <w:pPr>
        <w:pStyle w:val="a7"/>
        <w:numPr>
          <w:ilvl w:val="0"/>
          <w:numId w:val="2"/>
        </w:numPr>
        <w:spacing w:line="440" w:lineRule="exact"/>
        <w:ind w:firstLineChars="0"/>
        <w:rPr>
          <w:rFonts w:hAnsi="宋体"/>
          <w:sz w:val="24"/>
          <w:szCs w:val="24"/>
        </w:rPr>
      </w:pPr>
      <w:r>
        <w:rPr>
          <w:rFonts w:hAnsi="宋体" w:hint="eastAsia"/>
          <w:sz w:val="24"/>
          <w:szCs w:val="24"/>
        </w:rPr>
        <w:t>存货监管数据技术要求</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lastRenderedPageBreak/>
        <w:t>该章节规范了存货监管数据的采集要求、处理要求、传输要求、存储要求和存证要求。并明确了哪些数据要求是应采用的，哪些数据要求是宜采用的。</w:t>
      </w:r>
    </w:p>
    <w:p w:rsidR="00946362" w:rsidRDefault="00F37FF4">
      <w:pPr>
        <w:pStyle w:val="a5"/>
        <w:spacing w:line="440" w:lineRule="exact"/>
        <w:ind w:firstLine="480"/>
        <w:rPr>
          <w:rFonts w:ascii="宋体" w:eastAsia="宋体" w:hAnsi="宋体"/>
          <w:sz w:val="24"/>
          <w:szCs w:val="24"/>
        </w:rPr>
      </w:pPr>
      <w:r>
        <w:rPr>
          <w:rFonts w:ascii="宋体" w:eastAsia="宋体" w:hAnsi="宋体" w:hint="eastAsia"/>
          <w:sz w:val="24"/>
          <w:szCs w:val="24"/>
        </w:rPr>
        <w:t>确认依据：结合行业专家提出的意见，经过标准起草小组讨论确定。</w:t>
      </w:r>
    </w:p>
    <w:p w:rsidR="00946362" w:rsidRDefault="00F37FF4">
      <w:pPr>
        <w:spacing w:beforeLines="50" w:before="156" w:afterLines="50" w:after="156"/>
        <w:jc w:val="left"/>
        <w:outlineLvl w:val="0"/>
        <w:rPr>
          <w:rFonts w:ascii="宋体" w:eastAsia="宋体" w:hAnsi="宋体"/>
          <w:b/>
          <w:bCs/>
          <w:sz w:val="32"/>
          <w:szCs w:val="32"/>
        </w:rPr>
      </w:pPr>
      <w:r>
        <w:rPr>
          <w:rFonts w:ascii="宋体" w:eastAsia="宋体" w:hAnsi="宋体" w:hint="eastAsia"/>
          <w:b/>
          <w:bCs/>
          <w:sz w:val="32"/>
          <w:szCs w:val="32"/>
        </w:rPr>
        <w:t>六、重大分歧处理经过及依据</w:t>
      </w:r>
    </w:p>
    <w:p w:rsidR="00946362" w:rsidRDefault="00F37FF4">
      <w:pPr>
        <w:spacing w:line="440" w:lineRule="exact"/>
        <w:ind w:firstLineChars="200" w:firstLine="480"/>
        <w:rPr>
          <w:rFonts w:ascii="宋体" w:eastAsia="宋体" w:hAnsi="宋体"/>
          <w:sz w:val="32"/>
          <w:szCs w:val="32"/>
        </w:rPr>
      </w:pPr>
      <w:r>
        <w:rPr>
          <w:rFonts w:ascii="宋体" w:eastAsia="宋体" w:hAnsi="宋体" w:hint="eastAsia"/>
          <w:sz w:val="24"/>
          <w:szCs w:val="24"/>
        </w:rPr>
        <w:t>无重大意见分歧。</w:t>
      </w:r>
    </w:p>
    <w:p w:rsidR="00946362" w:rsidRDefault="00F37FF4">
      <w:pPr>
        <w:spacing w:beforeLines="50" w:before="156" w:afterLines="50" w:after="156"/>
        <w:jc w:val="left"/>
        <w:outlineLvl w:val="0"/>
        <w:rPr>
          <w:rFonts w:ascii="宋体" w:eastAsia="宋体" w:hAnsi="宋体"/>
          <w:b/>
          <w:bCs/>
          <w:sz w:val="32"/>
          <w:szCs w:val="32"/>
        </w:rPr>
      </w:pPr>
      <w:r>
        <w:rPr>
          <w:rFonts w:ascii="宋体" w:eastAsia="宋体" w:hAnsi="宋体" w:hint="eastAsia"/>
          <w:b/>
          <w:bCs/>
          <w:sz w:val="32"/>
          <w:szCs w:val="32"/>
        </w:rPr>
        <w:t>七、采标情况</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下列文件中的内容通过文中的规范性引用而构成本标准中必不可少的条款。其中，注日期的引用文件，仅该日期对应的版本适用于本标准文件；不注日期的引用文件，其最新版本适用于本标准文件。</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GB/T 18354 物流术语</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GB/T 33745 物联网 术语</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GB/T 38606 物联网标识体系 数据内容标识符</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GB_T 30837 信用证进口货物质押监管作业规范</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GB/T 18768 数码仓库应用系统规范</w:t>
      </w:r>
    </w:p>
    <w:p w:rsidR="00946362" w:rsidRDefault="00F37FF4">
      <w:pPr>
        <w:pStyle w:val="a6"/>
        <w:spacing w:line="440" w:lineRule="exact"/>
        <w:ind w:firstLine="480"/>
        <w:rPr>
          <w:rFonts w:eastAsia="宋体" w:cstheme="minorBidi"/>
          <w:kern w:val="2"/>
          <w:sz w:val="24"/>
          <w:szCs w:val="24"/>
        </w:rPr>
      </w:pPr>
      <w:r>
        <w:rPr>
          <w:rFonts w:eastAsia="宋体" w:cstheme="minorBidi"/>
          <w:kern w:val="2"/>
          <w:sz w:val="24"/>
          <w:szCs w:val="24"/>
        </w:rPr>
        <w:t>T11/AII 001工业互联网标识解析 数据语义化规范</w:t>
      </w:r>
    </w:p>
    <w:p w:rsidR="00946362" w:rsidRDefault="00F37FF4">
      <w:pPr>
        <w:spacing w:beforeLines="50" w:before="156" w:afterLines="50" w:after="156"/>
        <w:jc w:val="left"/>
        <w:outlineLvl w:val="0"/>
        <w:rPr>
          <w:rFonts w:ascii="宋体" w:eastAsia="宋体" w:hAnsi="宋体"/>
          <w:b/>
          <w:bCs/>
          <w:sz w:val="32"/>
          <w:szCs w:val="32"/>
        </w:rPr>
      </w:pPr>
      <w:r>
        <w:rPr>
          <w:rFonts w:ascii="宋体" w:eastAsia="宋体" w:hAnsi="宋体" w:hint="eastAsia"/>
          <w:b/>
          <w:bCs/>
          <w:sz w:val="32"/>
          <w:szCs w:val="32"/>
        </w:rPr>
        <w:t>八、与现行法律、法规和国家标准的关系</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本标准符合现行相关法律、法规的规定，与现有标准和制定中的标准，特别是强制性标准无冲突之处。</w:t>
      </w:r>
    </w:p>
    <w:p w:rsidR="00946362" w:rsidRDefault="00F37FF4">
      <w:pPr>
        <w:spacing w:beforeLines="50" w:before="156" w:afterLines="50" w:after="156"/>
        <w:jc w:val="left"/>
        <w:outlineLvl w:val="0"/>
        <w:rPr>
          <w:rFonts w:ascii="宋体" w:eastAsia="宋体" w:hAnsi="宋体"/>
          <w:b/>
          <w:bCs/>
          <w:sz w:val="32"/>
          <w:szCs w:val="32"/>
        </w:rPr>
      </w:pPr>
      <w:r>
        <w:rPr>
          <w:rFonts w:ascii="宋体" w:eastAsia="宋体" w:hAnsi="宋体" w:hint="eastAsia"/>
          <w:b/>
          <w:bCs/>
          <w:sz w:val="32"/>
          <w:szCs w:val="32"/>
        </w:rPr>
        <w:t>九、宣贯及实施建议</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本标准充分考虑了实际业务应用场景，技术指标经过实验和实际应用的验证，吸收借鉴国际和国内相关标准的先进经验，并充分吸取了专家的意见和建议，真实反映了在存货监管领域当前和未来的需求。因此本标准的技术方案和技术内容是真实、可靠的，反映了存货监管行业的最新现状和发展趋势。</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企业是标准实施的主体，为促进各相关企业理解标准内容，规范企业实施技术操作和管理评估，提高企业存货监管能力与服务水平，标准发布后，后续工作将通过宣贯培训、试点示范等形式来推动标准的落地实施。</w:t>
      </w:r>
      <w:r>
        <w:rPr>
          <w:rFonts w:eastAsia="宋体" w:cstheme="minorBidi"/>
          <w:kern w:val="2"/>
          <w:sz w:val="24"/>
          <w:szCs w:val="24"/>
        </w:rPr>
        <w:t xml:space="preserve">  </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lastRenderedPageBreak/>
        <w:t>（一）加强宣传，大力推广。通过举办培训班、召开会议、发放宣传资料以及纸媒、网络媒体等方式强化宣传，大力普及标准，营造贯彻标准的良好氛围，提高标准的社会关注度与知晓度，促进各相关企业准确理解、掌握和执行标准。</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（二）政策倾向，加大扶持、加强政策引导，鼓励企业自行试点，并对承担标准试点工作的企业给予一定政策支持。同时，大力扶持一批符合标准要求，在存货监管领域具备专业技术能力的企业主体。</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（三）企业应积极采纳《智慧仓储存货监管技术规范》标准。在存货监管业务全流程都应符合标准的相关规定，从而推动存货监管技术水平，降低风险，创造效益。</w:t>
      </w:r>
    </w:p>
    <w:p w:rsidR="00946362" w:rsidRDefault="00F37FF4">
      <w:pPr>
        <w:pStyle w:val="a6"/>
        <w:spacing w:line="440" w:lineRule="exact"/>
        <w:ind w:firstLine="480"/>
        <w:rPr>
          <w:rFonts w:eastAsia="宋体" w:cstheme="minorBidi"/>
          <w:kern w:val="2"/>
          <w:sz w:val="24"/>
          <w:szCs w:val="24"/>
        </w:rPr>
      </w:pPr>
      <w:r>
        <w:rPr>
          <w:rFonts w:eastAsia="宋体" w:cstheme="minorBidi" w:hint="eastAsia"/>
          <w:kern w:val="2"/>
          <w:sz w:val="24"/>
          <w:szCs w:val="24"/>
        </w:rPr>
        <w:t>（四）组织行业协会、相关企业进行《智慧仓储存货监管技术规范》标准的使用培训。</w:t>
      </w:r>
    </w:p>
    <w:p w:rsidR="00946362" w:rsidRDefault="00F37FF4">
      <w:pPr>
        <w:ind w:right="480" w:firstLineChars="200" w:firstLine="480"/>
        <w:jc w:val="right"/>
        <w:rPr>
          <w:rFonts w:ascii="宋体" w:eastAsia="宋体" w:hAnsi="宋体"/>
          <w:sz w:val="24"/>
          <w:szCs w:val="24"/>
        </w:rPr>
      </w:pPr>
      <w:r>
        <w:rPr>
          <w:rFonts w:ascii="宋体" w:eastAsia="宋体" w:hAnsi="宋体" w:hint="eastAsia"/>
          <w:sz w:val="24"/>
          <w:szCs w:val="24"/>
        </w:rPr>
        <w:t>标准起草小组</w:t>
      </w:r>
    </w:p>
    <w:p w:rsidR="00946362" w:rsidRDefault="00F37FF4" w:rsidP="00407420">
      <w:pPr>
        <w:ind w:right="480" w:firstLineChars="200" w:firstLine="480"/>
        <w:jc w:val="right"/>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r>
        <w:rPr>
          <w:rFonts w:ascii="宋体" w:eastAsia="宋体" w:hAnsi="宋体" w:hint="eastAsia"/>
          <w:sz w:val="24"/>
          <w:szCs w:val="24"/>
        </w:rPr>
        <w:t>2</w:t>
      </w:r>
      <w:r w:rsidR="004D28E2">
        <w:rPr>
          <w:rFonts w:ascii="宋体" w:eastAsia="宋体" w:hAnsi="宋体"/>
          <w:sz w:val="24"/>
          <w:szCs w:val="24"/>
        </w:rPr>
        <w:t>3</w:t>
      </w:r>
      <w:r>
        <w:rPr>
          <w:rFonts w:ascii="宋体" w:eastAsia="宋体" w:hAnsi="宋体" w:hint="eastAsia"/>
          <w:sz w:val="24"/>
          <w:szCs w:val="24"/>
        </w:rPr>
        <w:t>年</w:t>
      </w:r>
      <w:r w:rsidR="004D28E2">
        <w:rPr>
          <w:rFonts w:ascii="宋体" w:eastAsia="宋体" w:hAnsi="宋体"/>
          <w:sz w:val="24"/>
          <w:szCs w:val="24"/>
        </w:rPr>
        <w:t>2</w:t>
      </w:r>
      <w:r>
        <w:rPr>
          <w:rFonts w:ascii="宋体" w:eastAsia="宋体" w:hAnsi="宋体" w:hint="eastAsia"/>
          <w:sz w:val="24"/>
          <w:szCs w:val="24"/>
        </w:rPr>
        <w:t>月</w:t>
      </w:r>
    </w:p>
    <w:sectPr w:rsidR="00946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01" w:rsidRDefault="00336501">
      <w:pPr>
        <w:spacing w:line="240" w:lineRule="auto"/>
      </w:pPr>
      <w:r>
        <w:separator/>
      </w:r>
    </w:p>
  </w:endnote>
  <w:endnote w:type="continuationSeparator" w:id="0">
    <w:p w:rsidR="00336501" w:rsidRDefault="003365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01" w:rsidRDefault="00336501">
      <w:r>
        <w:separator/>
      </w:r>
    </w:p>
  </w:footnote>
  <w:footnote w:type="continuationSeparator" w:id="0">
    <w:p w:rsidR="00336501" w:rsidRDefault="00336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7333D6"/>
    <w:multiLevelType w:val="multilevel"/>
    <w:tmpl w:val="627333D6"/>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74500448"/>
    <w:multiLevelType w:val="multilevel"/>
    <w:tmpl w:val="74500448"/>
    <w:lvl w:ilvl="0">
      <w:start w:val="2"/>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NmZTgwNTBjNDFkM2FlMGIwYzg0MDFhYTdjOTE3OGUifQ=="/>
  </w:docVars>
  <w:rsids>
    <w:rsidRoot w:val="008F7F62"/>
    <w:rsid w:val="000274C4"/>
    <w:rsid w:val="00034B3B"/>
    <w:rsid w:val="0005363B"/>
    <w:rsid w:val="0009031B"/>
    <w:rsid w:val="00115778"/>
    <w:rsid w:val="001161E0"/>
    <w:rsid w:val="00137D09"/>
    <w:rsid w:val="00141550"/>
    <w:rsid w:val="00143210"/>
    <w:rsid w:val="00157A0B"/>
    <w:rsid w:val="00165449"/>
    <w:rsid w:val="001807A7"/>
    <w:rsid w:val="001B4F8A"/>
    <w:rsid w:val="001E4E4F"/>
    <w:rsid w:val="00261E5A"/>
    <w:rsid w:val="002637E3"/>
    <w:rsid w:val="00267822"/>
    <w:rsid w:val="0029126E"/>
    <w:rsid w:val="002B7B91"/>
    <w:rsid w:val="002D0083"/>
    <w:rsid w:val="002D6704"/>
    <w:rsid w:val="002E3384"/>
    <w:rsid w:val="002F3870"/>
    <w:rsid w:val="0032288A"/>
    <w:rsid w:val="00336501"/>
    <w:rsid w:val="003465FD"/>
    <w:rsid w:val="003830F5"/>
    <w:rsid w:val="003A0E4E"/>
    <w:rsid w:val="00407420"/>
    <w:rsid w:val="0041730C"/>
    <w:rsid w:val="0042337B"/>
    <w:rsid w:val="0043704D"/>
    <w:rsid w:val="0043780D"/>
    <w:rsid w:val="004B7C09"/>
    <w:rsid w:val="004D21CD"/>
    <w:rsid w:val="004D28E2"/>
    <w:rsid w:val="004E4BEF"/>
    <w:rsid w:val="00550371"/>
    <w:rsid w:val="00574DCE"/>
    <w:rsid w:val="00595A2E"/>
    <w:rsid w:val="005C541E"/>
    <w:rsid w:val="006206FB"/>
    <w:rsid w:val="0064202B"/>
    <w:rsid w:val="00665D74"/>
    <w:rsid w:val="00684DF0"/>
    <w:rsid w:val="00696B30"/>
    <w:rsid w:val="006978A2"/>
    <w:rsid w:val="006B5814"/>
    <w:rsid w:val="006F2A90"/>
    <w:rsid w:val="007752E7"/>
    <w:rsid w:val="00786A79"/>
    <w:rsid w:val="007A1EBE"/>
    <w:rsid w:val="007D5858"/>
    <w:rsid w:val="007F1C2F"/>
    <w:rsid w:val="0082445D"/>
    <w:rsid w:val="00830F07"/>
    <w:rsid w:val="0086227A"/>
    <w:rsid w:val="00862BCB"/>
    <w:rsid w:val="00875EED"/>
    <w:rsid w:val="008A4E62"/>
    <w:rsid w:val="008A732E"/>
    <w:rsid w:val="008C13F2"/>
    <w:rsid w:val="008C2711"/>
    <w:rsid w:val="008F7F62"/>
    <w:rsid w:val="00940487"/>
    <w:rsid w:val="00946362"/>
    <w:rsid w:val="00953BE2"/>
    <w:rsid w:val="009C15AF"/>
    <w:rsid w:val="00A222DE"/>
    <w:rsid w:val="00A43982"/>
    <w:rsid w:val="00A700A3"/>
    <w:rsid w:val="00AA021A"/>
    <w:rsid w:val="00AA6739"/>
    <w:rsid w:val="00AB6312"/>
    <w:rsid w:val="00AF4683"/>
    <w:rsid w:val="00B055B4"/>
    <w:rsid w:val="00B35BFC"/>
    <w:rsid w:val="00B837BD"/>
    <w:rsid w:val="00B95FD2"/>
    <w:rsid w:val="00BD3241"/>
    <w:rsid w:val="00BD5894"/>
    <w:rsid w:val="00BE6CE0"/>
    <w:rsid w:val="00CD37FA"/>
    <w:rsid w:val="00CE480B"/>
    <w:rsid w:val="00CE7547"/>
    <w:rsid w:val="00CF79D3"/>
    <w:rsid w:val="00D07F6B"/>
    <w:rsid w:val="00D5581E"/>
    <w:rsid w:val="00D97AE9"/>
    <w:rsid w:val="00DA5576"/>
    <w:rsid w:val="00DF7DFE"/>
    <w:rsid w:val="00E07C37"/>
    <w:rsid w:val="00E109C4"/>
    <w:rsid w:val="00E11F49"/>
    <w:rsid w:val="00EB1A64"/>
    <w:rsid w:val="00ED23A2"/>
    <w:rsid w:val="00EE7EC9"/>
    <w:rsid w:val="00F1381B"/>
    <w:rsid w:val="00F37FF4"/>
    <w:rsid w:val="00F53921"/>
    <w:rsid w:val="00F64CC5"/>
    <w:rsid w:val="00F858D9"/>
    <w:rsid w:val="00F87827"/>
    <w:rsid w:val="00FA03D1"/>
    <w:rsid w:val="00FB0FF8"/>
    <w:rsid w:val="00FE2CCF"/>
    <w:rsid w:val="12900868"/>
    <w:rsid w:val="13C06F2A"/>
    <w:rsid w:val="172A3039"/>
    <w:rsid w:val="2C5A3F68"/>
    <w:rsid w:val="2FF81ACE"/>
    <w:rsid w:val="417F1CED"/>
    <w:rsid w:val="450B59A8"/>
    <w:rsid w:val="4541761C"/>
    <w:rsid w:val="554747DA"/>
    <w:rsid w:val="57CF0AB7"/>
    <w:rsid w:val="6BDB5825"/>
    <w:rsid w:val="6E64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3B1CB-0689-47F8-A7EA-834754A7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5">
    <w:name w:val="List Paragraph"/>
    <w:basedOn w:val="a"/>
    <w:uiPriority w:val="34"/>
    <w:qFormat/>
    <w:pPr>
      <w:ind w:firstLineChars="200" w:firstLine="420"/>
    </w:pPr>
  </w:style>
  <w:style w:type="paragraph" w:customStyle="1" w:styleId="a6">
    <w:name w:val="段"/>
    <w:basedOn w:val="a"/>
    <w:qFormat/>
    <w:pPr>
      <w:autoSpaceDE w:val="0"/>
      <w:autoSpaceDN w:val="0"/>
      <w:ind w:firstLineChars="200" w:firstLine="420"/>
    </w:pPr>
    <w:rPr>
      <w:rFonts w:ascii="宋体" w:hAnsi="宋体" w:cs="宋体"/>
      <w:kern w:val="0"/>
    </w:rPr>
  </w:style>
  <w:style w:type="paragraph" w:customStyle="1" w:styleId="a7">
    <w:name w:val="标准文件_段"/>
    <w:link w:val="Char1"/>
    <w:qFormat/>
    <w:pPr>
      <w:autoSpaceDE w:val="0"/>
      <w:autoSpaceDN w:val="0"/>
      <w:ind w:firstLineChars="200" w:firstLine="200"/>
      <w:jc w:val="both"/>
    </w:pPr>
    <w:rPr>
      <w:rFonts w:ascii="宋体" w:eastAsia="宋体" w:hAnsi="Times New Roman" w:cs="Times New Roman"/>
      <w:sz w:val="21"/>
    </w:rPr>
  </w:style>
  <w:style w:type="character" w:customStyle="1" w:styleId="Char1">
    <w:name w:val="标准文件_段 Char"/>
    <w:link w:val="a7"/>
    <w:qFormat/>
    <w:rPr>
      <w:rFonts w:ascii="宋体" w:eastAsia="宋体" w:hAnsi="Times New Roman" w:cs="Times New Roman"/>
      <w:kern w:val="0"/>
      <w:szCs w:val="20"/>
    </w:rPr>
  </w:style>
  <w:style w:type="paragraph" w:customStyle="1" w:styleId="1">
    <w:name w:val="修订1"/>
    <w:hidden/>
    <w:uiPriority w:val="99"/>
    <w:semiHidden/>
    <w:qFormat/>
    <w:rPr>
      <w:kern w:val="2"/>
      <w:sz w:val="21"/>
      <w:szCs w:val="22"/>
    </w:rPr>
  </w:style>
  <w:style w:type="paragraph" w:styleId="a8">
    <w:name w:val="Balloon Text"/>
    <w:basedOn w:val="a"/>
    <w:link w:val="Char2"/>
    <w:uiPriority w:val="99"/>
    <w:semiHidden/>
    <w:unhideWhenUsed/>
    <w:rsid w:val="00407420"/>
    <w:pPr>
      <w:spacing w:line="240" w:lineRule="auto"/>
    </w:pPr>
    <w:rPr>
      <w:sz w:val="18"/>
      <w:szCs w:val="18"/>
    </w:rPr>
  </w:style>
  <w:style w:type="character" w:customStyle="1" w:styleId="Char2">
    <w:name w:val="批注框文本 Char"/>
    <w:basedOn w:val="a0"/>
    <w:link w:val="a8"/>
    <w:uiPriority w:val="99"/>
    <w:semiHidden/>
    <w:rsid w:val="0040742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F5930-89CE-4791-ADA2-573D26AC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8</Pages>
  <Words>788</Words>
  <Characters>4498</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nancyzhao129@163.com</dc:creator>
  <cp:lastModifiedBy>杨舸</cp:lastModifiedBy>
  <cp:revision>45</cp:revision>
  <dcterms:created xsi:type="dcterms:W3CDTF">2022-11-17T07:21:00Z</dcterms:created>
  <dcterms:modified xsi:type="dcterms:W3CDTF">2023-02-27T06:01:00Z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7729720E857F4E4595FC571446864008</vt:lpwstr>
  </property>
</Properties>
</file>