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附件</w:t>
      </w:r>
    </w:p>
    <w:p>
      <w:pPr>
        <w:numPr>
          <w:ilvl w:val="-1"/>
          <w:numId w:val="0"/>
        </w:numPr>
        <w:spacing w:after="0" w:line="480" w:lineRule="auto"/>
        <w:ind w:leftChars="0" w:firstLine="0" w:firstLineChars="0"/>
        <w:jc w:val="center"/>
        <w:rPr>
          <w:rFonts w:hint="default" w:ascii="Times New Roman" w:hAnsi="Times New Roman" w:eastAsia="方正小标宋简体" w:cs="Times New Roman"/>
          <w:sz w:val="72"/>
          <w:szCs w:val="7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72"/>
          <w:szCs w:val="72"/>
          <w:highlight w:val="none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  <w:highlight w:val="none"/>
          <w:lang w:val="en-US" w:eastAsia="zh-CN"/>
        </w:rPr>
        <w:t>深圳市瞪羚、</w:t>
      </w:r>
      <w:r>
        <w:rPr>
          <w:rFonts w:hint="default" w:ascii="Times New Roman" w:hAnsi="Times New Roman" w:eastAsia="方正小标宋简体" w:cs="Times New Roman"/>
          <w:sz w:val="72"/>
          <w:szCs w:val="72"/>
          <w:highlight w:val="none"/>
        </w:rPr>
        <w:t>独角兽</w:t>
      </w:r>
      <w:r>
        <w:rPr>
          <w:rFonts w:hint="default" w:ascii="Times New Roman" w:hAnsi="Times New Roman" w:eastAsia="方正小标宋简体" w:cs="Times New Roman"/>
          <w:sz w:val="72"/>
          <w:szCs w:val="72"/>
          <w:highlight w:val="none"/>
          <w:lang w:eastAsia="zh-CN"/>
        </w:rPr>
        <w:t>企</w:t>
      </w:r>
      <w:r>
        <w:rPr>
          <w:rFonts w:hint="default" w:ascii="Times New Roman" w:hAnsi="Times New Roman" w:eastAsia="方正小标宋简体" w:cs="Times New Roman"/>
          <w:sz w:val="72"/>
          <w:szCs w:val="72"/>
          <w:highlight w:val="none"/>
        </w:rPr>
        <w:t>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sz w:val="72"/>
          <w:szCs w:val="72"/>
          <w:highlight w:val="none"/>
          <w:lang w:val="en-US" w:eastAsia="zh-CN"/>
        </w:rPr>
        <w:t>梯度</w:t>
      </w:r>
      <w:r>
        <w:rPr>
          <w:rFonts w:hint="default" w:ascii="Times New Roman" w:hAnsi="Times New Roman" w:eastAsia="方正小标宋简体" w:cs="Times New Roman"/>
          <w:sz w:val="72"/>
          <w:szCs w:val="72"/>
        </w:rPr>
        <w:t>遴选评价指标体系</w:t>
      </w: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after="0" w:line="48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2024年9月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“瞪羚”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企业是指商业模式得到市场认可、收入或雇员人数达到一定规模，已成功跨越创业死亡谷并进入高速成长期的高成长企业。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“独角兽”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企业是指成立10年以内，估值超过10亿美元（或70亿人民币）、获得过私募投资且尚未上市的企业。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公平公正。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组建专家评价委员会，委员会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参与遴选指标评估、遴选机制设计、遴选名单确定等环节，打造公平公正、权威专业的评价环境，树立评价体系的专业性和评价结果的权威性。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（二）梯度培育。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建立瞪羚企业、独角兽企业培育库。其中，瞪羚企业分为瞪羚、超级瞪羚两个梯度；独角兽企业分为种子独角兽、潜在独角兽、独角兽（含超级独角兽）三个梯度。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（三）精准服务。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编制瞪羚、独角兽企业服务清单，为瞪羚、独角兽入库企业提供产业对接、融资对接、人才对接等服务对接活动，赋能支持企业加快发展。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  <w14:ligatures w14:val="standardContextual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动态管理。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每年开展瞪羚企业、独角兽企业遴选工作，持续发现和挖掘一批高成长创新型企业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对于不再符合认定条件的企业，建立退出机制。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行业要求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入库企业所属行业和细分领域符合深圳市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“20+8”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产业集群发展方向，具体如下：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战略性新兴产业：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半导体与集成电路、人工智能、低空经济与空天、新能源、智能网联汽车、生物医药、高端医疗器械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网络与通信、超高清视频显示、智能终端、软件与信息服务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智能传感器、高端装备与仪器、机器人、高性能材料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数字创意、现代时尚、安全节能环保、大健康、海洋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。</w:t>
      </w:r>
    </w:p>
    <w:p>
      <w:pPr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未来产业：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合成生物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光载信息、智能机器人、细胞与基因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脑科学与脑机工程、深地深海、量子信息、前沿新材料。</w:t>
      </w:r>
    </w:p>
    <w:p>
      <w:pPr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企业梯度培育体系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依据企业规模、成长速度、创新能力、融资金额、投后估值等指标，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瞪羚企业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瞪羚、超级瞪羚两个梯度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独角兽企业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种子独角兽、潜在独角兽、独角兽（含超级独角兽）三个梯度。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其中，瞪羚企业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以企业规模、成长速度、创新能力等为核心指标，独角兽企业以融资金额、投后估值等为核心指标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（一）申请主体位于深圳辖区内，具有健全的财务会计管理制度，经营纳税及信用情况良好，具有独立法人资格、实行独立核算的企业。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（二）申请主体所属行业和细分领域符合深圳市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“20+8”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产业集群发展方向。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（三）申请主体未列入经营异常名录和严重违法失信企业名单，且在申报年度的近三年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未发生重大安全、重大质量事故和严重环境违法、科研严重失信行为。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评价指标</w:t>
      </w:r>
    </w:p>
    <w:p>
      <w:pPr>
        <w:pStyle w:val="3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瞪羚企业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瞪羚企业分为瞪羚、超级瞪羚两个梯度，主要以企业规模、成长速度、创新能力作为遴选的基本指标。瞪羚企业、超级瞪羚企业需为高新技术企业、创新型中小企业或专精特新中小企业。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瞪羚企业入选需满足以下条件之一：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（1）企业成立时间距基期年</w:t>
      </w:r>
      <w:r>
        <w:rPr>
          <w:rStyle w:val="1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不超过10年（不含基期年），基期年营业收入达到3000万元且三年复合增长率达到20%，且截止年</w:t>
      </w:r>
      <w:r>
        <w:rPr>
          <w:rStyle w:val="1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（2）企业成立时间距基期年不超过10年（不含基期年），基期年雇员总数达到100人且三年复合增长率达到30%，且截止年正增长。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（3）企业成立时间距截止年不超过5年（含截止年），截止年营业收入达到5亿元，且3年内营业收入无大幅下降</w:t>
      </w:r>
      <w:r>
        <w:rPr>
          <w:rStyle w:val="1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（4）企业成立时间距截止年不超过10年（含截止年），截止年营业收入达到10亿元，且3年内营业收入无大幅下降。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示例：若遴选2024年瞪羚企业，计算营收或雇员人数三年复合增长率需要2020年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—</w:t>
      </w:r>
      <w:r>
        <w:rPr>
          <w:rFonts w:hint="eastAsia" w:ascii="黑体" w:hAnsi="黑体" w:eastAsia="黑体" w:cs="黑体"/>
          <w:sz w:val="28"/>
          <w:szCs w:val="28"/>
        </w:rPr>
        <w:t>2023年四年数据，则基期年为2020年，截止年为2023年，企业成立时间距基期年不超过10年是指成立时间不早于2010年，成立时间距截止年不超过5年是指成立时间不早于2019年，成立时间距截止年不超过10年是指成立时间不早于2014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企业三年复合增长率=</w:t>
      </w:r>
      <w:r>
        <w:rPr>
          <w:rFonts w:hint="eastAsia" w:ascii="Times New Roman" w:hAnsi="Times New Roman" w:eastAsia="黑体" w:cs="Times New Roman"/>
          <w:position w:val="-28"/>
          <w:sz w:val="28"/>
          <w:szCs w:val="28"/>
          <w:lang w:val="en-US" w:eastAsia="zh-CN"/>
        </w:rPr>
        <w:object>
          <v:shape id="_x0000_i1025" o:spt="75" type="#_x0000_t75" style="height:42.8pt;width:242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</w:p>
    <w:p>
      <w:pPr>
        <w:pStyle w:val="3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独角兽企业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独角兽企业分为种子独角兽、潜在独角兽、独角兽（含超级独角兽）三个梯度，主要以企业融资投后估值作为遴选的基本指标。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独角兽企业入选需同时满足以下条件：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成立时间不超过10年；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获得过股权投资，且尚未上市（不含新三板挂牌）；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最新一轮融资投后估值超过（含）70亿元人民币以上，且累计融资金额超过（含）3.5亿元人民币；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（4）符合（1）（2）要求，且最新一轮融资投后估值超过（含）700亿元人民币以上，累计融资金额超过（含）3.5亿元人民币的企业为超级独角兽企业。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潜在独角兽企业入选需满足以下条件之一：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成立5年内，获得过股权投资，且尚未上市（不含新三板挂牌）；最新一轮融资投后估值超过（含）7亿元人民币以上，且累计融资金额超过（含）3500万元人民币。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9年，获得过股权投资，且尚未上市（不含新三板挂牌）；最新一轮融资投后估值超过（含）35亿元人民币以上，且累计融资金额超过（含）1.75亿元人民币。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种子独角兽企业入选需同时满足以下条件：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成立时间不超过5年；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获得过股权投资，且尚未上市（不含新三板挂牌）；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  <w14:ligatures w14:val="standardContextual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最新一轮融资投后估值超过（含）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3亿元人民币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，且累计融资金额超过（含）1000万元人民币。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8" w:lineRule="auto"/>
      </w:pPr>
      <w:r>
        <w:separator/>
      </w:r>
    </w:p>
  </w:footnote>
  <w:footnote w:type="continuationSeparator" w:id="7">
    <w:p>
      <w:pPr>
        <w:spacing w:before="0" w:after="0" w:line="278" w:lineRule="auto"/>
      </w:pPr>
      <w:r>
        <w:continuationSeparator/>
      </w:r>
    </w:p>
  </w:footnote>
  <w:footnote w:id="0"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279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/>
        </w:rPr>
      </w:pPr>
      <w:r>
        <w:rPr>
          <w:rStyle w:val="14"/>
          <w:rFonts w:cs="Times New Roman"/>
          <w:b w:val="0"/>
          <w:bCs w:val="0"/>
        </w:rPr>
        <w:footnoteRef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基期年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是指分析某一特定时间段内的数据变化情况时，用作比较基准的年份。如分析2020-2023年企业营业收入变化情况，基期年是指2020年。</w:t>
      </w:r>
    </w:p>
  </w:footnote>
  <w:footnote w:id="1"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279" w:lineRule="auto"/>
        <w:jc w:val="both"/>
        <w:textAlignment w:val="auto"/>
        <w:rPr>
          <w:rFonts w:ascii="Times New Roman" w:hAnsi="Times New Roman" w:cs="Times New Roman"/>
          <w:b w:val="0"/>
          <w:bCs w:val="0"/>
        </w:rPr>
      </w:pPr>
      <w:r>
        <w:rPr>
          <w:rStyle w:val="14"/>
          <w:rFonts w:cs="Times New Roman"/>
          <w:b w:val="0"/>
          <w:bCs w:val="0"/>
        </w:rPr>
        <w:footnoteRef/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截止年与基期年相对应，截止年是指数据分析时间段的最后一年</w:t>
      </w:r>
      <w:r>
        <w:rPr>
          <w:rFonts w:hint="default" w:ascii="Times New Roman" w:hAnsi="Times New Roman" w:cs="Times New Roman"/>
          <w:b w:val="0"/>
          <w:bCs w:val="0"/>
          <w:color w:val="auto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如分析2020-2023年企业营业收入变化情况，截止年是指2023年。</w:t>
      </w:r>
    </w:p>
  </w:footnote>
  <w:footnote w:id="2">
    <w:p>
      <w:pPr>
        <w:pStyle w:val="10"/>
        <w:snapToGrid w:val="0"/>
        <w:rPr>
          <w:rFonts w:ascii="Times New Roman" w:hAnsi="Times New Roman" w:cs="Times New Roman"/>
        </w:rPr>
      </w:pPr>
      <w:r>
        <w:rPr>
          <w:rStyle w:val="14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3年内营业收入无大幅下降是指3年内营业收入同比增长率均不低于-30%。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mU4ZTZjY2M4ZjgwOTZhODc4Y2NjODA0MTBjZjUifQ=="/>
    <w:docVar w:name="KSO_WPS_MARK_KEY" w:val="63d79f4b-1d36-415b-83a7-8a2eedaa86c8"/>
  </w:docVars>
  <w:rsids>
    <w:rsidRoot w:val="00000000"/>
    <w:rsid w:val="01476066"/>
    <w:rsid w:val="016D50E6"/>
    <w:rsid w:val="01EB69D5"/>
    <w:rsid w:val="08AB7D2C"/>
    <w:rsid w:val="09EF391A"/>
    <w:rsid w:val="0D27016B"/>
    <w:rsid w:val="0F710180"/>
    <w:rsid w:val="1106380E"/>
    <w:rsid w:val="11731ED8"/>
    <w:rsid w:val="14A249A9"/>
    <w:rsid w:val="14DE3EBA"/>
    <w:rsid w:val="16A62A26"/>
    <w:rsid w:val="179C7298"/>
    <w:rsid w:val="1924245F"/>
    <w:rsid w:val="1AC259B9"/>
    <w:rsid w:val="1BDC36A0"/>
    <w:rsid w:val="1CD25DD7"/>
    <w:rsid w:val="1E197BED"/>
    <w:rsid w:val="1FAC79A0"/>
    <w:rsid w:val="24FF2FC1"/>
    <w:rsid w:val="28282C9C"/>
    <w:rsid w:val="283820E4"/>
    <w:rsid w:val="2A225B37"/>
    <w:rsid w:val="2CD95776"/>
    <w:rsid w:val="2FA6055E"/>
    <w:rsid w:val="35FB763D"/>
    <w:rsid w:val="39644EC2"/>
    <w:rsid w:val="3A9C3EE5"/>
    <w:rsid w:val="3ADA3505"/>
    <w:rsid w:val="3C8B2A0C"/>
    <w:rsid w:val="425C7B72"/>
    <w:rsid w:val="44F16838"/>
    <w:rsid w:val="477C7DB0"/>
    <w:rsid w:val="47A17216"/>
    <w:rsid w:val="4C82361B"/>
    <w:rsid w:val="50514152"/>
    <w:rsid w:val="52865634"/>
    <w:rsid w:val="57560218"/>
    <w:rsid w:val="58F3721E"/>
    <w:rsid w:val="5AEF15BB"/>
    <w:rsid w:val="5BB558A7"/>
    <w:rsid w:val="5C243981"/>
    <w:rsid w:val="5EE63CD0"/>
    <w:rsid w:val="611A1B8F"/>
    <w:rsid w:val="612C10AF"/>
    <w:rsid w:val="614A1086"/>
    <w:rsid w:val="61D733AE"/>
    <w:rsid w:val="6219223B"/>
    <w:rsid w:val="62690348"/>
    <w:rsid w:val="65D915FF"/>
    <w:rsid w:val="67E002BB"/>
    <w:rsid w:val="683323FE"/>
    <w:rsid w:val="68ED0287"/>
    <w:rsid w:val="6FF93313"/>
    <w:rsid w:val="6FFF21DD"/>
    <w:rsid w:val="710A152F"/>
    <w:rsid w:val="73425424"/>
    <w:rsid w:val="73C51239"/>
    <w:rsid w:val="74746A9A"/>
    <w:rsid w:val="76355AD4"/>
    <w:rsid w:val="77771310"/>
    <w:rsid w:val="777A9DA0"/>
    <w:rsid w:val="77AD4519"/>
    <w:rsid w:val="77F71DC2"/>
    <w:rsid w:val="78C66C6C"/>
    <w:rsid w:val="7A075611"/>
    <w:rsid w:val="7B03693C"/>
    <w:rsid w:val="7C412EEA"/>
    <w:rsid w:val="7EEC0AD8"/>
    <w:rsid w:val="7FFF9EA3"/>
    <w:rsid w:val="AF35B766"/>
    <w:rsid w:val="EE19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/>
      <w:jc w:val="left"/>
      <w:outlineLvl w:val="0"/>
    </w:pPr>
    <w:rPr>
      <w:rFonts w:hint="eastAsia" w:ascii="宋体" w:hAnsi="宋体" w:eastAsia="黑体" w:cs="宋体"/>
      <w:b/>
      <w:bCs/>
      <w:sz w:val="32"/>
      <w:szCs w:val="48"/>
      <w:lang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ind w:firstLine="880" w:firstLineChars="200"/>
      <w:outlineLvl w:val="1"/>
    </w:pPr>
    <w:rPr>
      <w:rFonts w:ascii="Times New Roman" w:hAnsi="Times New Roman" w:eastAsia="楷体_GB2312"/>
      <w:b/>
      <w:szCs w:val="24"/>
    </w:rPr>
  </w:style>
  <w:style w:type="paragraph" w:styleId="4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640" w:firstLineChars="200"/>
      <w:outlineLvl w:val="2"/>
    </w:pPr>
    <w:rPr>
      <w:rFonts w:ascii="Times New Roman" w:hAnsi="Times New Roman"/>
      <w:b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Times New Roman" w:hAnsi="Times New Roman"/>
    </w:rPr>
  </w:style>
  <w:style w:type="paragraph" w:styleId="6">
    <w:name w:val="heading 5"/>
    <w:next w:val="1"/>
    <w:autoRedefine/>
    <w:semiHidden/>
    <w:unhideWhenUsed/>
    <w:qFormat/>
    <w:uiPriority w:val="0"/>
    <w:pPr>
      <w:keepNext/>
      <w:keepLines/>
      <w:widowControl w:val="0"/>
      <w:spacing w:beforeAutospacing="0" w:afterAutospacing="0" w:line="560" w:lineRule="exact"/>
      <w:ind w:firstLine="420" w:firstLineChars="200"/>
      <w:jc w:val="both"/>
      <w:outlineLvl w:val="4"/>
    </w:pPr>
    <w:rPr>
      <w:rFonts w:eastAsia="仿宋_GB2312" w:asciiTheme="minorAscii" w:hAnsiTheme="minorAscii" w:cstheme="minorBidi"/>
      <w:b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  <w:rPr>
      <w:rFonts w:ascii="Times New Roman" w:hAnsi="Times New Roman" w:eastAsia="仿宋_GB2312"/>
      <w:sz w:val="32"/>
      <w:szCs w:val="32"/>
    </w:rPr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character" w:styleId="14">
    <w:name w:val="footnote reference"/>
    <w:basedOn w:val="13"/>
    <w:autoRedefine/>
    <w:qFormat/>
    <w:uiPriority w:val="0"/>
    <w:rPr>
      <w:vertAlign w:val="superscript"/>
    </w:rPr>
  </w:style>
  <w:style w:type="character" w:customStyle="1" w:styleId="15">
    <w:name w:val="标题 3 字符"/>
    <w:basedOn w:val="13"/>
    <w:link w:val="4"/>
    <w:autoRedefine/>
    <w:qFormat/>
    <w:uiPriority w:val="9"/>
    <w:rPr>
      <w:rFonts w:ascii="Times New Roman" w:hAnsi="Times New Roman" w:eastAsia="仿宋_GB2312" w:cs="宋体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2367</Words>
  <Characters>2435</Characters>
  <Lines>0</Lines>
  <Paragraphs>0</Paragraphs>
  <TotalTime>8</TotalTime>
  <ScaleCrop>false</ScaleCrop>
  <LinksUpToDate>false</LinksUpToDate>
  <CharactersWithSpaces>2435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2021-04-03T09:12:00Z</dcterms:created>
  <dc:creator>Thinkpad</dc:creator>
  <cp:lastModifiedBy>可扬</cp:lastModifiedBy>
  <cp:lastPrinted>2024-10-08T08:12:04Z</cp:lastPrinted>
  <dcterms:modified xsi:type="dcterms:W3CDTF">2024-10-08T08:12:07Z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319396F7F50B606D005EF666D170A560</vt:lpwstr>
  </property>
</Properties>
</file>