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D6CB0">
      <w:pPr>
        <w:pStyle w:val="2"/>
        <w:keepNext w:val="0"/>
        <w:keepLines w:val="0"/>
        <w:ind w:firstLine="0" w:firstLineChars="0"/>
        <w:rPr>
          <w:rFonts w:hint="eastAsia"/>
        </w:rPr>
      </w:pPr>
      <w:r>
        <w:rPr>
          <w:rFonts w:hint="eastAsia"/>
        </w:rPr>
        <w:t>附件1</w:t>
      </w:r>
    </w:p>
    <w:p w14:paraId="7A6F661D">
      <w:pPr>
        <w:ind w:firstLine="640"/>
        <w:rPr>
          <w:rFonts w:hint="eastAsia"/>
        </w:rPr>
      </w:pPr>
    </w:p>
    <w:p w14:paraId="1EAD6B76">
      <w:pPr>
        <w:pStyle w:val="9"/>
        <w:rPr>
          <w:rFonts w:hint="eastAsia" w:ascii="楷体_GB2312" w:hAnsi="楷体_GB2312" w:eastAsia="楷体_GB2312" w:cs="楷体_GB2312"/>
          <w:sz w:val="32"/>
        </w:rPr>
      </w:pPr>
      <w:bookmarkStart w:id="0" w:name="_Hlk174020219"/>
      <w:r>
        <w:rPr>
          <w:rFonts w:hint="eastAsia"/>
        </w:rPr>
        <w:t>深圳市工业和信息化局2025年超高清视频显示产业发展扶持计划项目申报指南</w:t>
      </w:r>
    </w:p>
    <w:bookmarkEnd w:id="0"/>
    <w:p w14:paraId="7E004A55">
      <w:pPr>
        <w:ind w:firstLine="640"/>
        <w:rPr>
          <w:rFonts w:hint="eastAsia"/>
        </w:rPr>
      </w:pPr>
    </w:p>
    <w:p w14:paraId="6C308F1E">
      <w:pPr>
        <w:pStyle w:val="2"/>
        <w:numPr>
          <w:ilvl w:val="0"/>
          <w:numId w:val="1"/>
        </w:numPr>
        <w:ind w:firstLineChars="0"/>
        <w:rPr>
          <w:rFonts w:hint="eastAsia"/>
        </w:rPr>
      </w:pPr>
      <w:r>
        <w:rPr>
          <w:rFonts w:hint="eastAsia"/>
        </w:rPr>
        <w:t>资助的项目类别</w:t>
      </w:r>
    </w:p>
    <w:p w14:paraId="1DEF7600">
      <w:pPr>
        <w:ind w:firstLine="643"/>
        <w:rPr>
          <w:rFonts w:hint="eastAsia"/>
        </w:rPr>
      </w:pPr>
      <w:r>
        <w:rPr>
          <w:rStyle w:val="13"/>
          <w:rFonts w:hint="eastAsia"/>
          <w:b/>
          <w:bCs w:val="0"/>
        </w:rPr>
        <w:t>（一）上级资金配套项目：</w:t>
      </w:r>
      <w:r>
        <w:rPr>
          <w:rFonts w:hint="eastAsia"/>
        </w:rPr>
        <w:t>对项目单位承担的工业和信息化部、广东省工业和信息化厅组织开展的超高清视频显示领域重大项目（以下简称国家和省级项目），给予配套支持的专项。拨款方式参照国家和省级项目进行。</w:t>
      </w:r>
    </w:p>
    <w:p w14:paraId="068E9A79">
      <w:pPr>
        <w:ind w:firstLine="643"/>
        <w:rPr>
          <w:rFonts w:hint="eastAsia"/>
        </w:rPr>
      </w:pPr>
      <w:r>
        <w:rPr>
          <w:rStyle w:val="13"/>
          <w:rFonts w:hint="eastAsia"/>
          <w:b/>
          <w:bCs w:val="0"/>
        </w:rPr>
        <w:t>（二）供应链合作项目：</w:t>
      </w:r>
      <w:r>
        <w:rPr>
          <w:rFonts w:hint="eastAsia"/>
        </w:rPr>
        <w:t>超高清视频显示终端、面板企业开放供应链、打通上下游，与核心材料、零部件、装备等企业加强合作、联合攻关，新增相关供应链企业并达成稳定采购合作给予奖励的项目。</w:t>
      </w:r>
    </w:p>
    <w:p w14:paraId="27C8B77A">
      <w:pPr>
        <w:ind w:firstLine="643"/>
        <w:rPr>
          <w:rFonts w:hint="eastAsia"/>
        </w:rPr>
      </w:pPr>
      <w:r>
        <w:rPr>
          <w:rStyle w:val="13"/>
          <w:rFonts w:hint="eastAsia"/>
          <w:b/>
          <w:bCs w:val="0"/>
        </w:rPr>
        <w:t>（三）标准终端应用项目：</w:t>
      </w:r>
      <w:r>
        <w:rPr>
          <w:rFonts w:hint="eastAsia"/>
        </w:rPr>
        <w:t>企业应用AVS3、统一多媒体互联接口等对行业具有重大创新引领作用的超高清视听标准开发、生产、销售终端产品给予资助的项目</w:t>
      </w:r>
      <w:r>
        <w:t>。</w:t>
      </w:r>
    </w:p>
    <w:p w14:paraId="5A337A8B">
      <w:pPr>
        <w:pStyle w:val="2"/>
        <w:ind w:firstLine="640"/>
        <w:rPr>
          <w:rFonts w:hint="eastAsia"/>
        </w:rPr>
      </w:pPr>
      <w:r>
        <w:rPr>
          <w:rFonts w:hint="eastAsia"/>
        </w:rPr>
        <w:t>二、设定依据</w:t>
      </w:r>
    </w:p>
    <w:p w14:paraId="03F0FB52">
      <w:pPr>
        <w:ind w:firstLine="640"/>
        <w:rPr>
          <w:rFonts w:hint="eastAsia"/>
          <w:color w:val="000000"/>
          <w:shd w:val="clear" w:color="auto" w:fill="FFFFFF"/>
        </w:rPr>
      </w:pPr>
      <w:r>
        <w:rPr>
          <w:rFonts w:hint="eastAsia"/>
        </w:rPr>
        <w:t>（一）《深圳市关于推动超高清视频显示产业集群高质量发展的若干措施》</w:t>
      </w:r>
      <w:r>
        <w:rPr>
          <w:rFonts w:hint="eastAsia"/>
          <w:color w:val="000000"/>
          <w:shd w:val="clear" w:color="auto" w:fill="FFFFFF"/>
        </w:rPr>
        <w:t>（深工信规〔</w:t>
      </w:r>
      <w:r>
        <w:rPr>
          <w:color w:val="000000"/>
          <w:shd w:val="clear" w:color="auto" w:fill="FFFFFF"/>
        </w:rPr>
        <w:t>202</w:t>
      </w:r>
      <w:r>
        <w:rPr>
          <w:rFonts w:hint="eastAsia"/>
          <w:color w:val="000000"/>
          <w:shd w:val="clear" w:color="auto" w:fill="FFFFFF"/>
        </w:rPr>
        <w:t>4</w:t>
      </w:r>
      <w:r>
        <w:rPr>
          <w:color w:val="000000"/>
          <w:shd w:val="clear" w:color="auto" w:fill="FFFFFF"/>
        </w:rPr>
        <w:t>〕</w:t>
      </w:r>
      <w:r>
        <w:rPr>
          <w:rFonts w:hint="eastAsia"/>
          <w:color w:val="000000"/>
          <w:shd w:val="clear" w:color="auto" w:fill="FFFFFF"/>
        </w:rPr>
        <w:t>3</w:t>
      </w:r>
      <w:r>
        <w:rPr>
          <w:color w:val="000000"/>
          <w:shd w:val="clear" w:color="auto" w:fill="FFFFFF"/>
        </w:rPr>
        <w:t>号</w:t>
      </w:r>
      <w:r>
        <w:rPr>
          <w:rFonts w:hint="eastAsia"/>
          <w:color w:val="000000"/>
          <w:shd w:val="clear" w:color="auto" w:fill="FFFFFF"/>
        </w:rPr>
        <w:t>，以下简称《若干措施》</w:t>
      </w:r>
      <w:r>
        <w:rPr>
          <w:color w:val="000000"/>
          <w:shd w:val="clear" w:color="auto" w:fill="FFFFFF"/>
        </w:rPr>
        <w:t>）</w:t>
      </w:r>
    </w:p>
    <w:p w14:paraId="4EE61D94">
      <w:pPr>
        <w:ind w:firstLine="640"/>
        <w:rPr>
          <w:rFonts w:hint="eastAsia"/>
        </w:rPr>
      </w:pPr>
      <w:r>
        <w:rPr>
          <w:rFonts w:hint="eastAsia"/>
          <w:color w:val="000000"/>
          <w:shd w:val="clear" w:color="auto" w:fill="FFFFFF"/>
        </w:rPr>
        <w:t>（二）《深圳市培育发展超高清视频显示产业集群行动计划（2024-2025年）》（深工信〔</w:t>
      </w:r>
      <w:r>
        <w:rPr>
          <w:color w:val="000000"/>
          <w:shd w:val="clear" w:color="auto" w:fill="FFFFFF"/>
        </w:rPr>
        <w:t>202</w:t>
      </w:r>
      <w:r>
        <w:rPr>
          <w:rFonts w:hint="eastAsia"/>
          <w:color w:val="000000"/>
          <w:shd w:val="clear" w:color="auto" w:fill="FFFFFF"/>
        </w:rPr>
        <w:t>4</w:t>
      </w:r>
      <w:r>
        <w:rPr>
          <w:color w:val="000000"/>
          <w:shd w:val="clear" w:color="auto" w:fill="FFFFFF"/>
        </w:rPr>
        <w:t>〕</w:t>
      </w:r>
      <w:r>
        <w:rPr>
          <w:rFonts w:hint="eastAsia"/>
          <w:color w:val="000000"/>
          <w:shd w:val="clear" w:color="auto" w:fill="FFFFFF"/>
        </w:rPr>
        <w:t>77</w:t>
      </w:r>
      <w:r>
        <w:rPr>
          <w:color w:val="000000"/>
          <w:shd w:val="clear" w:color="auto" w:fill="FFFFFF"/>
        </w:rPr>
        <w:t>号</w:t>
      </w:r>
      <w:r>
        <w:rPr>
          <w:rFonts w:hint="eastAsia"/>
          <w:color w:val="000000"/>
          <w:shd w:val="clear" w:color="auto" w:fill="FFFFFF"/>
        </w:rPr>
        <w:t>）</w:t>
      </w:r>
    </w:p>
    <w:p w14:paraId="6D0997B8">
      <w:pPr>
        <w:ind w:firstLine="640"/>
        <w:rPr>
          <w:rFonts w:hint="eastAsia"/>
        </w:rPr>
      </w:pPr>
      <w:r>
        <w:rPr>
          <w:rFonts w:hint="eastAsia"/>
        </w:rPr>
        <w:t>（三）《深圳市工业和信息化局超高清视频显示产业发展专项扶持计划操作规程》</w:t>
      </w:r>
      <w:r>
        <w:rPr>
          <w:rFonts w:hint="eastAsia" w:hAnsi="Calibri"/>
          <w:color w:val="000000"/>
        </w:rPr>
        <w:t>（深工信规〔2025〕2号）</w:t>
      </w:r>
    </w:p>
    <w:p w14:paraId="240E6FB2">
      <w:pPr>
        <w:pStyle w:val="2"/>
        <w:ind w:firstLine="640"/>
        <w:rPr>
          <w:rFonts w:hint="eastAsia"/>
        </w:rPr>
      </w:pPr>
      <w:r>
        <w:rPr>
          <w:rFonts w:hint="eastAsia"/>
        </w:rPr>
        <w:t>三、资助的方式和标准及其费用范围</w:t>
      </w:r>
    </w:p>
    <w:p w14:paraId="58DFD143">
      <w:pPr>
        <w:pStyle w:val="3"/>
        <w:ind w:firstLine="643"/>
        <w:rPr>
          <w:rFonts w:hint="eastAsia"/>
          <w:b/>
          <w:bCs w:val="0"/>
          <w:shd w:val="clear" w:color="auto" w:fill="FFFFFF"/>
        </w:rPr>
      </w:pPr>
      <w:r>
        <w:rPr>
          <w:rFonts w:hint="eastAsia"/>
          <w:b/>
          <w:bCs w:val="0"/>
        </w:rPr>
        <w:t>（一）</w:t>
      </w:r>
      <w:r>
        <w:rPr>
          <w:rFonts w:hint="eastAsia"/>
          <w:b/>
          <w:bCs w:val="0"/>
          <w:shd w:val="clear" w:color="auto" w:fill="FFFFFF"/>
        </w:rPr>
        <w:t>上级资金配套项目</w:t>
      </w:r>
    </w:p>
    <w:p w14:paraId="1D6BC9C3">
      <w:pPr>
        <w:pStyle w:val="21"/>
        <w:ind w:firstLine="640"/>
        <w:rPr>
          <w:rFonts w:hint="eastAsia"/>
        </w:rPr>
      </w:pPr>
      <w:r>
        <w:rPr>
          <w:rFonts w:hint="eastAsia"/>
        </w:rPr>
        <w:t>资助标准及费用范围为：按不超过1∶1的比例对已拨付到位的国家或广东省资助资金给予配套，国家级、市级资金合计不超过项目总投资的50%，省级、市级资金合计不超过项目总投资的40%。</w:t>
      </w:r>
    </w:p>
    <w:p w14:paraId="4B281030">
      <w:pPr>
        <w:pStyle w:val="3"/>
        <w:ind w:firstLine="643"/>
        <w:rPr>
          <w:rFonts w:hint="eastAsia"/>
          <w:b/>
          <w:bCs w:val="0"/>
          <w:shd w:val="clear" w:color="auto" w:fill="FFFFFF"/>
        </w:rPr>
      </w:pPr>
      <w:r>
        <w:rPr>
          <w:rFonts w:hint="eastAsia"/>
          <w:b/>
          <w:bCs w:val="0"/>
        </w:rPr>
        <w:t>（二）</w:t>
      </w:r>
      <w:r>
        <w:rPr>
          <w:rFonts w:hint="eastAsia"/>
          <w:b/>
          <w:bCs w:val="0"/>
          <w:shd w:val="clear" w:color="auto" w:fill="FFFFFF"/>
        </w:rPr>
        <w:t>供应链合作项目</w:t>
      </w:r>
    </w:p>
    <w:p w14:paraId="5B01CCD0">
      <w:pPr>
        <w:pStyle w:val="21"/>
        <w:ind w:firstLine="640"/>
        <w:rPr>
          <w:rFonts w:hint="eastAsia"/>
        </w:rPr>
      </w:pPr>
      <w:r>
        <w:rPr>
          <w:rFonts w:hint="eastAsia"/>
        </w:rPr>
        <w:t>资助标准及费用范围为：事后补助，按不超过核定合同金额的20%予以超高清视频显示终端、面板企业奖励，且每家企业每年最高1000万元。</w:t>
      </w:r>
    </w:p>
    <w:p w14:paraId="6F1B3D6C">
      <w:pPr>
        <w:pStyle w:val="3"/>
        <w:ind w:firstLine="643"/>
        <w:rPr>
          <w:rFonts w:hint="eastAsia"/>
          <w:b/>
          <w:bCs w:val="0"/>
        </w:rPr>
      </w:pPr>
      <w:r>
        <w:rPr>
          <w:rFonts w:hint="eastAsia"/>
          <w:b/>
          <w:bCs w:val="0"/>
        </w:rPr>
        <w:t>（三）标准终端应用项目</w:t>
      </w:r>
    </w:p>
    <w:p w14:paraId="03104DBA">
      <w:pPr>
        <w:ind w:firstLine="640"/>
        <w:rPr>
          <w:rFonts w:hint="eastAsia"/>
        </w:rPr>
      </w:pPr>
      <w:r>
        <w:rPr>
          <w:rFonts w:hint="eastAsia" w:hAnsi="楷体_GB2312"/>
        </w:rPr>
        <w:t>资助标准及费用范围为：事后补助，根据应用标准1项、2项及以上分别给予最高不超过核定年度销售额的5</w:t>
      </w:r>
      <w:r>
        <w:rPr>
          <w:rFonts w:hint="eastAsia" w:hAnsi="仿宋_GB2312" w:cs="仿宋_GB2312"/>
          <w:szCs w:val="32"/>
          <w:shd w:val="clear" w:color="auto" w:fill="FFFFFF"/>
        </w:rPr>
        <w:t>‰</w:t>
      </w:r>
      <w:r>
        <w:rPr>
          <w:rFonts w:hint="eastAsia" w:hAnsi="楷体_GB2312"/>
        </w:rPr>
        <w:t>、1%的补助，同系列标准认定为1项标准，同一项目单位同一类别产品采用同一项标准政策期内只能享受一次补助，每个项目最高补助200万元</w:t>
      </w:r>
      <w:r>
        <w:rPr>
          <w:rFonts w:hint="eastAsia"/>
        </w:rPr>
        <w:t>。资助的产品类别包括电视终端、机顶盒、摄像机、交互式一体机、计算机显示器、监视器、投影机、LED显示大屏、解码器、播放器等，以及支持超高清视频显示的手机、平板电脑、笔记本电脑等。</w:t>
      </w:r>
    </w:p>
    <w:p w14:paraId="238284DB">
      <w:pPr>
        <w:ind w:firstLine="643"/>
        <w:rPr>
          <w:rFonts w:hint="eastAsia"/>
          <w:b/>
          <w:bCs/>
        </w:rPr>
      </w:pPr>
      <w:r>
        <w:rPr>
          <w:rFonts w:hint="eastAsia"/>
          <w:b/>
          <w:bCs/>
        </w:rPr>
        <w:t>以上三个资助类别最终实际资助的额度受专项资金年度预算总额控制。</w:t>
      </w:r>
    </w:p>
    <w:p w14:paraId="612F8672">
      <w:pPr>
        <w:pStyle w:val="2"/>
        <w:ind w:firstLine="640"/>
        <w:rPr>
          <w:rFonts w:hint="eastAsia"/>
        </w:rPr>
      </w:pPr>
      <w:r>
        <w:rPr>
          <w:rFonts w:hint="eastAsia"/>
        </w:rPr>
        <w:t>四、项目申报条件</w:t>
      </w:r>
    </w:p>
    <w:p w14:paraId="7745BFCB">
      <w:pPr>
        <w:autoSpaceDE w:val="0"/>
        <w:ind w:firstLine="640"/>
        <w:rPr>
          <w:rFonts w:hAnsi="Calibri"/>
        </w:rPr>
      </w:pPr>
      <w:r>
        <w:rPr>
          <w:rFonts w:hint="eastAsia" w:hAnsi="Calibri"/>
        </w:rPr>
        <w:t>申报条件由</w:t>
      </w:r>
      <w:r>
        <w:rPr>
          <w:rFonts w:hint="eastAsia" w:hAnsi="Calibri"/>
          <w:b/>
        </w:rPr>
        <w:t>基础条件</w:t>
      </w:r>
      <w:r>
        <w:rPr>
          <w:rFonts w:hint="eastAsia" w:hAnsi="Calibri"/>
        </w:rPr>
        <w:t>和</w:t>
      </w:r>
      <w:r>
        <w:rPr>
          <w:rFonts w:hint="eastAsia" w:hAnsi="Calibri"/>
          <w:b/>
        </w:rPr>
        <w:t>专项条件</w:t>
      </w:r>
      <w:r>
        <w:rPr>
          <w:rFonts w:hint="eastAsia" w:hAnsi="Calibri"/>
        </w:rPr>
        <w:t>两部分组成。项目单位应当同时符合基础申报条件和专项申报条件。</w:t>
      </w:r>
    </w:p>
    <w:p w14:paraId="49DBBCAA">
      <w:pPr>
        <w:pStyle w:val="3"/>
        <w:ind w:firstLine="643"/>
        <w:rPr>
          <w:rFonts w:hint="eastAsia"/>
          <w:b/>
          <w:bCs w:val="0"/>
        </w:rPr>
      </w:pPr>
      <w:r>
        <w:rPr>
          <w:rFonts w:hint="eastAsia"/>
          <w:b/>
          <w:bCs w:val="0"/>
        </w:rPr>
        <w:t>（一）基础条件：</w:t>
      </w:r>
    </w:p>
    <w:p w14:paraId="0DE1B195">
      <w:pPr>
        <w:ind w:firstLine="640"/>
        <w:rPr>
          <w:rFonts w:hint="eastAsia"/>
        </w:rPr>
      </w:pPr>
      <w:r>
        <w:rPr>
          <w:rFonts w:hint="eastAsia"/>
        </w:rPr>
        <w:t>1.在深圳市（含深汕特别合作区，下同）实际从事超高清视频显示领域上中下游经营活动，具有独立法人资格的企业、事业单位、行业协会或者其他组织；</w:t>
      </w:r>
    </w:p>
    <w:p w14:paraId="26666338">
      <w:pPr>
        <w:ind w:firstLine="640"/>
        <w:rPr>
          <w:rFonts w:hint="eastAsia"/>
        </w:rPr>
      </w:pPr>
      <w:r>
        <w:rPr>
          <w:rFonts w:hint="eastAsia"/>
        </w:rPr>
        <w:t>2.未被列入严重失信主体名单；</w:t>
      </w:r>
    </w:p>
    <w:p w14:paraId="40F916C3">
      <w:pPr>
        <w:ind w:firstLine="640"/>
        <w:rPr>
          <w:rFonts w:hint="eastAsia"/>
        </w:rPr>
      </w:pPr>
      <w:r>
        <w:rPr>
          <w:rFonts w:hint="eastAsia"/>
        </w:rPr>
        <w:t>3.申报项目实施地在深圳；</w:t>
      </w:r>
    </w:p>
    <w:p w14:paraId="2EEB1241">
      <w:pPr>
        <w:ind w:firstLine="640"/>
        <w:rPr>
          <w:rFonts w:hint="eastAsia"/>
        </w:rPr>
      </w:pPr>
      <w:r>
        <w:rPr>
          <w:rFonts w:hint="eastAsia"/>
        </w:rPr>
        <w:t>4.不存在就同一建设内容相同或部分内容相同的项目向市、区有关部门进行多头申报的情形；</w:t>
      </w:r>
    </w:p>
    <w:p w14:paraId="0B28122C">
      <w:pPr>
        <w:ind w:firstLine="640"/>
        <w:rPr>
          <w:rFonts w:hint="eastAsia"/>
        </w:rPr>
      </w:pPr>
      <w:r>
        <w:rPr>
          <w:rFonts w:hint="eastAsia"/>
        </w:rPr>
        <w:t>5.申报项目符合国家、省、市产业政策以及能耗、环保、安全等要求，并按规定完成所需的用地、环评、规划等手续；</w:t>
      </w:r>
    </w:p>
    <w:p w14:paraId="1B4DCB33">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6.承诺在资金下达文件下发后一年内，项目单位若出现生产经营的重大变动事项，应及时向市工业和信息化局报告，并配合市工业和信息化局完成绩效目标意见整改等相关整改工作；</w:t>
      </w:r>
    </w:p>
    <w:p w14:paraId="12791343">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7.法律、法规、规章和上级行政机关规范性文件规定的其他条件。</w:t>
      </w:r>
    </w:p>
    <w:p w14:paraId="49E49980">
      <w:pPr>
        <w:pStyle w:val="3"/>
        <w:ind w:firstLine="643"/>
        <w:rPr>
          <w:rFonts w:hint="eastAsia"/>
          <w:b/>
          <w:bCs w:val="0"/>
        </w:rPr>
      </w:pPr>
      <w:r>
        <w:rPr>
          <w:rFonts w:hint="eastAsia"/>
          <w:b/>
          <w:bCs w:val="0"/>
        </w:rPr>
        <w:t>（二）专项条件：</w:t>
      </w:r>
    </w:p>
    <w:p w14:paraId="61E1AB20">
      <w:pPr>
        <w:pStyle w:val="4"/>
        <w:ind w:firstLine="643"/>
        <w:rPr>
          <w:rFonts w:hint="eastAsia"/>
        </w:rPr>
      </w:pPr>
      <w:r>
        <w:rPr>
          <w:rFonts w:hint="eastAsia"/>
        </w:rPr>
        <w:t>1.上级资金配套项目</w:t>
      </w:r>
    </w:p>
    <w:p w14:paraId="296ECC7C">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（1）申请项目在《若干措施》有效期内、本指南发布之日前收到国家或省资助资金下达（</w:t>
      </w:r>
      <w:r>
        <w:rPr>
          <w:rFonts w:hint="eastAsia" w:ascii="楷体_GB2312" w:hAnsi="楷体_GB2312" w:eastAsia="楷体_GB2312" w:cs="楷体_GB2312"/>
          <w:sz w:val="32"/>
          <w:szCs w:val="32"/>
          <w:shd w:val="clear" w:color="auto" w:fill="FFFFFF"/>
        </w:rPr>
        <w:t>以国家和省资金下达文件时间为准</w:t>
      </w:r>
      <w:r>
        <w:rPr>
          <w:rFonts w:hint="eastAsia" w:ascii="仿宋_GB2312" w:eastAsia="仿宋_GB2312"/>
          <w:sz w:val="32"/>
          <w:szCs w:val="32"/>
          <w:shd w:val="clear" w:color="auto" w:fill="FFFFFF"/>
        </w:rPr>
        <w:t>）；</w:t>
      </w:r>
    </w:p>
    <w:p w14:paraId="1AA76D11">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（2）项目单位应当原则由市工业和信息化局推荐，牵头承担或者参与承担国家和省级项目，并且在深圳市拥有开展项目的必要条件；</w:t>
      </w:r>
    </w:p>
    <w:p w14:paraId="240FEB9C">
      <w:pPr>
        <w:pStyle w:val="21"/>
        <w:ind w:firstLine="640"/>
        <w:rPr>
          <w:rFonts w:hint="eastAsia"/>
          <w:shd w:val="clear" w:color="auto" w:fill="FFFFFF"/>
        </w:rPr>
      </w:pPr>
      <w:r>
        <w:rPr>
          <w:rFonts w:hint="eastAsia"/>
          <w:shd w:val="clear" w:color="auto" w:fill="FFFFFF"/>
        </w:rPr>
        <w:t>（3）</w:t>
      </w:r>
      <w:r>
        <w:rPr>
          <w:rFonts w:hint="eastAsia"/>
        </w:rPr>
        <w:t>项目应由牵头单位联合深圳市内其他参与单位共同申请；</w:t>
      </w:r>
    </w:p>
    <w:p w14:paraId="11CE8FA0">
      <w:pPr>
        <w:pStyle w:val="21"/>
        <w:ind w:firstLine="640"/>
        <w:rPr>
          <w:rFonts w:hint="eastAsia"/>
          <w:shd w:val="clear" w:color="auto" w:fill="FFFFFF"/>
        </w:rPr>
      </w:pPr>
      <w:r>
        <w:rPr>
          <w:rFonts w:hint="eastAsia"/>
          <w:shd w:val="clear" w:color="auto" w:fill="FFFFFF"/>
        </w:rPr>
        <w:t>（4）</w:t>
      </w:r>
      <w:r>
        <w:rPr>
          <w:rFonts w:hint="eastAsia"/>
        </w:rPr>
        <w:t>国家和省级项目财政资助总额不少于500万元（含500万元）</w:t>
      </w:r>
      <w:r>
        <w:rPr>
          <w:rFonts w:hint="eastAsia"/>
          <w:shd w:val="clear" w:color="auto" w:fill="FFFFFF"/>
        </w:rPr>
        <w:t>；</w:t>
      </w:r>
    </w:p>
    <w:p w14:paraId="3C689955">
      <w:pPr>
        <w:pStyle w:val="21"/>
        <w:ind w:firstLine="640"/>
        <w:rPr>
          <w:rFonts w:hint="eastAsia"/>
          <w:bCs/>
        </w:rPr>
      </w:pPr>
      <w:r>
        <w:rPr>
          <w:rFonts w:hint="eastAsia"/>
          <w:shd w:val="clear" w:color="auto" w:fill="FFFFFF"/>
        </w:rPr>
        <w:t>（5）</w:t>
      </w:r>
      <w:r>
        <w:rPr>
          <w:rFonts w:hint="eastAsia"/>
          <w:bCs/>
        </w:rPr>
        <w:t>国家和省级项目未获得过本市财政扶持；</w:t>
      </w:r>
    </w:p>
    <w:p w14:paraId="13CF322A">
      <w:pPr>
        <w:pStyle w:val="21"/>
        <w:ind w:firstLine="640"/>
        <w:rPr>
          <w:rFonts w:hint="eastAsia"/>
          <w:bCs/>
        </w:rPr>
      </w:pPr>
      <w:r>
        <w:rPr>
          <w:rFonts w:hint="eastAsia"/>
          <w:bCs/>
        </w:rPr>
        <w:t>（6）配套资金应当按照国家和省级项目归属的相关资金政策的规定使用；</w:t>
      </w:r>
    </w:p>
    <w:p w14:paraId="0EC43866">
      <w:pPr>
        <w:pStyle w:val="21"/>
        <w:ind w:firstLine="640"/>
        <w:rPr>
          <w:rFonts w:hint="eastAsia"/>
          <w:shd w:val="clear" w:color="auto" w:fill="FFFFFF"/>
        </w:rPr>
      </w:pPr>
      <w:r>
        <w:rPr>
          <w:rFonts w:hint="eastAsia"/>
          <w:bCs/>
        </w:rPr>
        <w:t>（7）申报配套资金时，国家和省级项目尚未验收完成的，项目单位应当在项目验收前按照国家、省级、市级合同书（或任务书或申报书）相关要求规范使用市级配套资金，并配合主管部门进行中期检查、项目验收、资金收回等相关工作。</w:t>
      </w:r>
    </w:p>
    <w:p w14:paraId="18B44AF1">
      <w:pPr>
        <w:pStyle w:val="4"/>
        <w:ind w:firstLine="643"/>
        <w:rPr>
          <w:rFonts w:hint="eastAsia"/>
          <w:shd w:val="clear" w:color="auto" w:fill="FFFFFF"/>
        </w:rPr>
      </w:pPr>
      <w:r>
        <w:rPr>
          <w:rFonts w:hint="eastAsia"/>
        </w:rPr>
        <w:t>2.</w:t>
      </w:r>
      <w:r>
        <w:rPr>
          <w:rFonts w:hint="eastAsia"/>
          <w:shd w:val="clear" w:color="auto" w:fill="FFFFFF"/>
        </w:rPr>
        <w:t>供应链合作项目</w:t>
      </w:r>
    </w:p>
    <w:p w14:paraId="57ABC7A1">
      <w:pPr>
        <w:pStyle w:val="21"/>
        <w:ind w:firstLine="640"/>
        <w:rPr>
          <w:rFonts w:hint="eastAsia"/>
          <w:shd w:val="clear" w:color="auto" w:fill="FFFFFF"/>
        </w:rPr>
      </w:pPr>
      <w:r>
        <w:rPr>
          <w:rFonts w:hint="eastAsia"/>
          <w:shd w:val="clear" w:color="auto" w:fill="FFFFFF"/>
        </w:rPr>
        <w:t>（1）项目单位是超高清视频显示领域终端、面板研发、生产企业，联合申报单位是超高清视频显示领域核心材料、零部件、装备等研发、生产企业，项目单位及联合申报单位应当联合申报；</w:t>
      </w:r>
    </w:p>
    <w:p w14:paraId="741661A6">
      <w:pPr>
        <w:pStyle w:val="21"/>
        <w:ind w:firstLine="640"/>
        <w:rPr>
          <w:rFonts w:hint="eastAsia"/>
          <w:shd w:val="clear" w:color="auto" w:fill="FFFFFF"/>
        </w:rPr>
      </w:pPr>
      <w:r>
        <w:rPr>
          <w:rFonts w:hint="eastAsia"/>
          <w:shd w:val="clear" w:color="auto" w:fill="FFFFFF"/>
        </w:rPr>
        <w:t>（2）项目单位及联合申报单位均在统计部门登记为工业企业；</w:t>
      </w:r>
    </w:p>
    <w:p w14:paraId="19AD084E">
      <w:pPr>
        <w:pStyle w:val="21"/>
        <w:ind w:firstLine="640"/>
        <w:rPr>
          <w:rFonts w:hint="eastAsia"/>
          <w:shd w:val="clear" w:color="auto" w:fill="FFFFFF"/>
        </w:rPr>
      </w:pPr>
      <w:r>
        <w:rPr>
          <w:rFonts w:hint="eastAsia"/>
          <w:shd w:val="clear" w:color="auto" w:fill="FFFFFF"/>
        </w:rPr>
        <w:t>（3）项目单位及联合申报单位的合作不涉及关联交易；</w:t>
      </w:r>
    </w:p>
    <w:p w14:paraId="1E245A80">
      <w:pPr>
        <w:pStyle w:val="21"/>
        <w:ind w:firstLine="640"/>
        <w:rPr>
          <w:rFonts w:hint="eastAsia"/>
          <w:shd w:val="clear" w:color="auto" w:fill="FFFFFF"/>
        </w:rPr>
      </w:pPr>
      <w:r>
        <w:rPr>
          <w:rFonts w:hint="eastAsia"/>
          <w:shd w:val="clear" w:color="auto" w:fill="FFFFFF"/>
        </w:rPr>
        <w:t>（4）项目实施前，项目单位及联合申报单位之间未开展过供应链采购合作，或近三年累计采购合作金额（只统计项目单位采购联合申报单位核心材料、零部件、装备中的单类别产品金额，不同类别产品不合并统计，不同类别产品是指跨产品，或功能不同，或技术路线不一样的产品，下同）在100万元以下；</w:t>
      </w:r>
    </w:p>
    <w:p w14:paraId="73B0A2E2">
      <w:pPr>
        <w:pStyle w:val="21"/>
        <w:ind w:firstLine="640"/>
        <w:rPr>
          <w:rFonts w:hint="eastAsia"/>
          <w:shd w:val="clear" w:color="auto" w:fill="FFFFFF"/>
        </w:rPr>
      </w:pPr>
      <w:r>
        <w:rPr>
          <w:rFonts w:hint="eastAsia"/>
          <w:shd w:val="clear" w:color="auto" w:fill="FFFFFF"/>
        </w:rPr>
        <w:t>（5）联合申报单位的超高清视频显示核心材料、零部件、装备等产品具有较强的核心竞争力，对产业发展具有带动和引领作用，并通过了项目单位的测试验证、实现了量产应用；</w:t>
      </w:r>
    </w:p>
    <w:p w14:paraId="5A65B5C1">
      <w:pPr>
        <w:pStyle w:val="21"/>
        <w:ind w:firstLine="640"/>
        <w:rPr>
          <w:rFonts w:hint="eastAsia"/>
          <w:shd w:val="clear" w:color="auto" w:fill="FFFFFF"/>
        </w:rPr>
      </w:pPr>
      <w:r>
        <w:rPr>
          <w:rFonts w:hint="eastAsia"/>
          <w:shd w:val="clear" w:color="auto" w:fill="FFFFFF"/>
        </w:rPr>
        <w:t>（6）项目实施期应在《若干措施》有效期内，且项目结束日期应早于本指南发布之日；</w:t>
      </w:r>
    </w:p>
    <w:p w14:paraId="0AFA9E7C">
      <w:pPr>
        <w:pStyle w:val="21"/>
        <w:ind w:firstLine="640"/>
        <w:rPr>
          <w:rFonts w:hint="eastAsia"/>
          <w:shd w:val="clear" w:color="auto" w:fill="FFFFFF"/>
        </w:rPr>
      </w:pPr>
      <w:r>
        <w:rPr>
          <w:rFonts w:hint="eastAsia"/>
          <w:shd w:val="clear" w:color="auto" w:fill="FFFFFF"/>
        </w:rPr>
        <w:t>（7）项目实施期内，项目单位采购联合申报单位超高清视频显示领域核心材料、零部件、装备等产品的核定合同金额（</w:t>
      </w:r>
      <w:r>
        <w:rPr>
          <w:rFonts w:hint="eastAsia" w:ascii="楷体_GB2312" w:hAnsi="楷体_GB2312" w:eastAsia="楷体_GB2312" w:cs="楷体_GB2312"/>
          <w:shd w:val="clear" w:color="auto" w:fill="FFFFFF"/>
        </w:rPr>
        <w:t>只统计单类别产品金额，不同类别产品不合并统计</w:t>
      </w:r>
      <w:r>
        <w:rPr>
          <w:rFonts w:hint="eastAsia"/>
          <w:shd w:val="clear" w:color="auto" w:fill="FFFFFF"/>
        </w:rPr>
        <w:t>）达到1000万元以上（含1000万元）。</w:t>
      </w:r>
    </w:p>
    <w:p w14:paraId="4B9EA7B4">
      <w:pPr>
        <w:pStyle w:val="3"/>
        <w:ind w:firstLine="643"/>
        <w:rPr>
          <w:rFonts w:hint="eastAsia"/>
          <w:b/>
          <w:bCs w:val="0"/>
        </w:rPr>
      </w:pPr>
      <w:r>
        <w:rPr>
          <w:rFonts w:hint="eastAsia"/>
          <w:b/>
          <w:bCs w:val="0"/>
        </w:rPr>
        <w:t>3.标准终端应用项目</w:t>
      </w:r>
    </w:p>
    <w:p w14:paraId="2094881F">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（1）申报的产品应用了AVS3、统一多媒体互联接口等对行业具有重大创新引领作用的超高清视听标准；</w:t>
      </w:r>
    </w:p>
    <w:p w14:paraId="7D36DE08">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（2）申报的产品属于超高清视频显示领域终端产品；</w:t>
      </w:r>
    </w:p>
    <w:p w14:paraId="3CF0D1C4">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（3）申报的产品已实现销售和交付，且项目实施期内，电视、手机、平板电脑、笔记本电脑产品销售额（不含税）不低于1亿元、其他产品销售额（不含税）不低于2000万元；</w:t>
      </w:r>
    </w:p>
    <w:p w14:paraId="7DAC2597">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（4）项目实施期应在《若干措施》有效期内且项目结束日期不晚于2024年12月31日；</w:t>
      </w:r>
    </w:p>
    <w:p w14:paraId="502B0671">
      <w:pPr>
        <w:pStyle w:val="21"/>
        <w:ind w:firstLine="640"/>
        <w:rPr>
          <w:rFonts w:hint="eastAsia"/>
          <w:shd w:val="clear" w:color="auto" w:fill="FFFFFF"/>
        </w:rPr>
      </w:pPr>
      <w:r>
        <w:rPr>
          <w:rFonts w:hint="eastAsia"/>
          <w:shd w:val="clear" w:color="auto" w:fill="FFFFFF"/>
        </w:rPr>
        <w:t>（5）不同型号的同一类别产品需合并申报为一个项目；</w:t>
      </w:r>
    </w:p>
    <w:p w14:paraId="1DA30F2B">
      <w:pPr>
        <w:pStyle w:val="21"/>
        <w:ind w:firstLine="640"/>
        <w:rPr>
          <w:rFonts w:hint="eastAsia"/>
          <w:shd w:val="clear" w:color="auto" w:fill="FFFFFF"/>
        </w:rPr>
      </w:pPr>
      <w:r>
        <w:rPr>
          <w:rFonts w:hint="eastAsia"/>
          <w:shd w:val="clear" w:color="auto" w:fill="FFFFFF"/>
        </w:rPr>
        <w:t>（6）每类产品需单独申报，单家企业同一年度最多申请2个项目；</w:t>
      </w:r>
    </w:p>
    <w:p w14:paraId="1389B09A">
      <w:pPr>
        <w:pStyle w:val="21"/>
        <w:ind w:firstLine="640"/>
        <w:rPr>
          <w:rFonts w:hint="eastAsia"/>
          <w:shd w:val="clear" w:color="auto" w:fill="FFFFFF"/>
        </w:rPr>
      </w:pPr>
      <w:r>
        <w:rPr>
          <w:rFonts w:hint="eastAsia"/>
          <w:shd w:val="clear" w:color="auto" w:fill="FFFFFF"/>
        </w:rPr>
        <w:t>（7）申报的产品需得到标准发布单位的认证；</w:t>
      </w:r>
    </w:p>
    <w:p w14:paraId="2448BE77">
      <w:pPr>
        <w:pStyle w:val="21"/>
        <w:ind w:firstLine="640"/>
        <w:rPr>
          <w:rFonts w:hint="eastAsia"/>
          <w:shd w:val="clear" w:color="auto" w:fill="FFFFFF"/>
        </w:rPr>
      </w:pPr>
      <w:r>
        <w:rPr>
          <w:rFonts w:hint="eastAsia"/>
          <w:shd w:val="clear" w:color="auto" w:fill="FFFFFF"/>
        </w:rPr>
        <w:t>（8）项目单位在统计部门登记为工业企业；</w:t>
      </w:r>
    </w:p>
    <w:p w14:paraId="15BFAFC1">
      <w:pPr>
        <w:pStyle w:val="21"/>
        <w:ind w:firstLine="640"/>
        <w:rPr>
          <w:rFonts w:hint="eastAsia"/>
          <w:shd w:val="clear" w:color="auto" w:fill="FFFFFF"/>
        </w:rPr>
      </w:pPr>
      <w:r>
        <w:rPr>
          <w:rFonts w:hint="eastAsia"/>
          <w:shd w:val="clear" w:color="auto" w:fill="FFFFFF"/>
        </w:rPr>
        <w:t>（9）项目单位需为产品品牌单位，或为终端产品ODM代工厂；项目单位为终端产品ODM代工厂的，需已获取品牌方知悉其申报本资助且品牌方自愿放弃本条政策相关权益的书面材料。</w:t>
      </w:r>
    </w:p>
    <w:p w14:paraId="75C62E64">
      <w:pPr>
        <w:pStyle w:val="2"/>
        <w:ind w:firstLine="640"/>
        <w:rPr>
          <w:rFonts w:hint="eastAsia"/>
        </w:rPr>
      </w:pPr>
      <w:r>
        <w:rPr>
          <w:rFonts w:hint="eastAsia"/>
        </w:rPr>
        <w:t>五、项目申报材料</w:t>
      </w:r>
    </w:p>
    <w:p w14:paraId="4EEEA3C5">
      <w:pPr>
        <w:autoSpaceDE w:val="0"/>
        <w:ind w:firstLine="640"/>
        <w:rPr>
          <w:rFonts w:hint="eastAsia" w:hAnsi="宋体"/>
        </w:rPr>
      </w:pPr>
      <w:r>
        <w:rPr>
          <w:rFonts w:hint="eastAsia" w:hAnsi="宋体"/>
        </w:rPr>
        <w:t>申报材料由</w:t>
      </w:r>
      <w:r>
        <w:rPr>
          <w:rFonts w:hint="eastAsia" w:hAnsi="宋体"/>
          <w:b/>
        </w:rPr>
        <w:t>基础申报材料</w:t>
      </w:r>
      <w:r>
        <w:rPr>
          <w:rFonts w:hint="eastAsia" w:hAnsi="宋体"/>
        </w:rPr>
        <w:t>和</w:t>
      </w:r>
      <w:r>
        <w:rPr>
          <w:rFonts w:hint="eastAsia" w:hAnsi="宋体"/>
          <w:b/>
        </w:rPr>
        <w:t>专项申报材料</w:t>
      </w:r>
      <w:r>
        <w:rPr>
          <w:rFonts w:hint="eastAsia" w:hAnsi="宋体"/>
        </w:rPr>
        <w:t>两部分组成。</w:t>
      </w:r>
    </w:p>
    <w:p w14:paraId="340D96B5">
      <w:pPr>
        <w:autoSpaceDE w:val="0"/>
        <w:ind w:firstLine="643"/>
        <w:rPr>
          <w:rFonts w:hint="eastAsia" w:ascii="楷体_GB2312" w:hAnsi="楷体_GB2312" w:eastAsia="楷体_GB2312" w:cs="楷体_GB2312"/>
          <w:b/>
        </w:rPr>
      </w:pPr>
      <w:r>
        <w:rPr>
          <w:rFonts w:hint="eastAsia" w:ascii="楷体_GB2312" w:hAnsi="楷体_GB2312" w:eastAsia="楷体_GB2312" w:cs="楷体_GB2312"/>
          <w:b/>
        </w:rPr>
        <w:t>（一）基础申报材料：</w:t>
      </w:r>
    </w:p>
    <w:p w14:paraId="085B64F1">
      <w:pPr>
        <w:pStyle w:val="8"/>
        <w:widowControl/>
        <w:shd w:val="clear" w:color="auto" w:fill="FFFFFF"/>
        <w:adjustRightInd w:val="0"/>
        <w:snapToGrid w:val="0"/>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w:t>
      </w:r>
      <w:r>
        <w:rPr>
          <w:rFonts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rPr>
        <w:t>项目申请书；</w:t>
      </w:r>
    </w:p>
    <w:p w14:paraId="353C1418">
      <w:pPr>
        <w:pStyle w:val="8"/>
        <w:widowControl/>
        <w:shd w:val="clear" w:color="auto" w:fill="FFFFFF"/>
        <w:adjustRightInd w:val="0"/>
        <w:snapToGrid w:val="0"/>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w:t>
      </w:r>
      <w:r>
        <w:rPr>
          <w:rFonts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rPr>
        <w:t>项目单位营业执照（复印件；已关联电子证照的，无需提交）；</w:t>
      </w:r>
    </w:p>
    <w:p w14:paraId="5CDBAC71">
      <w:pPr>
        <w:pStyle w:val="8"/>
        <w:widowControl/>
        <w:shd w:val="clear" w:color="auto" w:fill="FFFFFF"/>
        <w:adjustRightInd w:val="0"/>
        <w:snapToGrid w:val="0"/>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w:t>
      </w:r>
      <w:r>
        <w:rPr>
          <w:rFonts w:ascii="仿宋_GB2312" w:hAnsi="仿宋_GB2312" w:eastAsia="仿宋_GB2312" w:cs="仿宋_GB2312"/>
          <w:sz w:val="32"/>
          <w:szCs w:val="32"/>
          <w:shd w:val="clear" w:color="auto" w:fill="FFFFFF"/>
        </w:rPr>
        <w:t>.</w:t>
      </w:r>
      <w:r>
        <w:rPr>
          <w:rFonts w:hint="eastAsia" w:ascii="仿宋_GB2312" w:eastAsia="仿宋_GB2312"/>
          <w:sz w:val="32"/>
          <w:szCs w:val="32"/>
          <w:shd w:val="clear" w:color="auto" w:fill="FFFFFF"/>
        </w:rPr>
        <w:t>项目单位近两年的财务审计报告或财务报表（复印件）</w:t>
      </w:r>
      <w:r>
        <w:rPr>
          <w:rFonts w:hint="eastAsia" w:ascii="仿宋_GB2312" w:hAnsi="仿宋_GB2312" w:eastAsia="仿宋_GB2312" w:cs="仿宋_GB2312"/>
          <w:sz w:val="32"/>
          <w:szCs w:val="32"/>
          <w:shd w:val="clear" w:color="auto" w:fill="FFFFFF"/>
        </w:rPr>
        <w:t>；</w:t>
      </w:r>
    </w:p>
    <w:p w14:paraId="72734F14">
      <w:pPr>
        <w:pStyle w:val="8"/>
        <w:widowControl/>
        <w:shd w:val="clear" w:color="auto" w:fill="FFFFFF"/>
        <w:adjustRightInd w:val="0"/>
        <w:snapToGrid w:val="0"/>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4.深圳信用网（</w:t>
      </w:r>
      <w:r>
        <w:rPr>
          <w:rFonts w:ascii="仿宋_GB2312" w:hAnsi="仿宋_GB2312" w:eastAsia="仿宋_GB2312" w:cs="仿宋_GB2312"/>
          <w:sz w:val="32"/>
          <w:szCs w:val="32"/>
          <w:shd w:val="clear" w:color="auto" w:fill="FFFFFF"/>
        </w:rPr>
        <w:t>https://www.szcredit.org.cn）查询下载的信用报告</w:t>
      </w:r>
      <w:r>
        <w:rPr>
          <w:rFonts w:hint="eastAsia" w:ascii="仿宋_GB2312" w:hAnsi="仿宋_GB2312" w:eastAsia="仿宋_GB2312" w:cs="仿宋_GB2312"/>
          <w:sz w:val="32"/>
          <w:szCs w:val="32"/>
          <w:shd w:val="clear" w:color="auto" w:fill="FFFFFF"/>
        </w:rPr>
        <w:t>；</w:t>
      </w:r>
    </w:p>
    <w:p w14:paraId="4CAD9EE9">
      <w:pPr>
        <w:pStyle w:val="8"/>
        <w:widowControl/>
        <w:shd w:val="clear" w:color="auto" w:fill="FFFFFF"/>
        <w:adjustRightInd w:val="0"/>
        <w:snapToGrid w:val="0"/>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5.项目单位及联合申报单位在深圳市实际从事超高清视频显示领域上中下游经营活动，且项目实施地在深圳的相关材料；</w:t>
      </w:r>
    </w:p>
    <w:p w14:paraId="3BB6392C">
      <w:pPr>
        <w:pStyle w:val="8"/>
        <w:widowControl/>
        <w:shd w:val="clear" w:color="auto" w:fill="FFFFFF"/>
        <w:adjustRightInd w:val="0"/>
        <w:snapToGrid w:val="0"/>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6.项目符合国家、省、市产业政策以及能耗、环保、安全等要求，并按规定完成所需的用地、环评、规划等手续的相关证明材料；</w:t>
      </w:r>
    </w:p>
    <w:p w14:paraId="58BC0F5F">
      <w:pPr>
        <w:pStyle w:val="8"/>
        <w:widowControl/>
        <w:shd w:val="clear" w:color="auto" w:fill="FFFFFF"/>
        <w:adjustRightInd w:val="0"/>
        <w:snapToGrid w:val="0"/>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7.项目单位未就同一建设内容相同或部分内容相同的项目获得市、区有关部门资助，且在获得本政策资助后不重复申请或获得市、区财政资金资助的承诺书；</w:t>
      </w:r>
    </w:p>
    <w:p w14:paraId="41A686CE">
      <w:pPr>
        <w:pStyle w:val="8"/>
        <w:widowControl/>
        <w:shd w:val="clear" w:color="auto" w:fill="FFFFFF"/>
        <w:adjustRightInd w:val="0"/>
        <w:snapToGrid w:val="0"/>
        <w:spacing w:before="0" w:beforeAutospacing="0" w:after="0" w:afterAutospacing="0" w:line="56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8.项目单位关于生产经营重大变动事项及时报告，并配合绩效目标意见整改等相关整改的承诺书。</w:t>
      </w:r>
    </w:p>
    <w:p w14:paraId="2C8E57C4">
      <w:pPr>
        <w:autoSpaceDE w:val="0"/>
        <w:ind w:firstLine="643"/>
        <w:rPr>
          <w:rFonts w:hint="eastAsia" w:ascii="楷体_GB2312" w:hAnsi="楷体_GB2312" w:eastAsia="楷体_GB2312" w:cs="楷体_GB2312"/>
          <w:b/>
        </w:rPr>
      </w:pPr>
      <w:r>
        <w:rPr>
          <w:rFonts w:hint="eastAsia" w:ascii="楷体_GB2312" w:hAnsi="楷体_GB2312" w:eastAsia="楷体_GB2312" w:cs="楷体_GB2312"/>
          <w:b/>
        </w:rPr>
        <w:t>（二）专项申报材料：</w:t>
      </w:r>
    </w:p>
    <w:p w14:paraId="6BC9C641">
      <w:pPr>
        <w:pStyle w:val="8"/>
        <w:widowControl/>
        <w:shd w:val="clear" w:color="auto" w:fill="FFFFFF"/>
        <w:adjustRightInd w:val="0"/>
        <w:snapToGrid w:val="0"/>
        <w:spacing w:before="0" w:beforeAutospacing="0" w:after="0" w:afterAutospacing="0" w:line="560" w:lineRule="exact"/>
        <w:ind w:firstLine="640" w:firstLineChars="200"/>
        <w:jc w:val="both"/>
        <w:rPr>
          <w:rFonts w:hint="eastAsia" w:ascii="仿宋_GB2312" w:hAnsi="仿宋_GB2312" w:eastAsia="仿宋_GB2312" w:cs="仿宋_GB2312"/>
          <w:color w:val="040404"/>
          <w:sz w:val="32"/>
          <w:szCs w:val="32"/>
          <w:shd w:val="clear" w:color="auto" w:fill="FFFFFF"/>
        </w:rPr>
      </w:pPr>
      <w:r>
        <w:rPr>
          <w:rFonts w:hint="eastAsia" w:ascii="仿宋_GB2312" w:hAnsi="仿宋_GB2312" w:eastAsia="仿宋_GB2312" w:cs="仿宋_GB2312"/>
          <w:color w:val="040404"/>
          <w:sz w:val="32"/>
          <w:szCs w:val="32"/>
          <w:shd w:val="clear" w:color="auto" w:fill="FFFFFF"/>
        </w:rPr>
        <w:t>所有专项申报材料需在申报系统上传电子版，并在提供书面材料时提供复印件，具体各扶持方向所需专项材料如下：</w:t>
      </w:r>
    </w:p>
    <w:p w14:paraId="36C79377">
      <w:pPr>
        <w:pStyle w:val="3"/>
        <w:ind w:firstLine="643"/>
        <w:rPr>
          <w:rFonts w:hint="eastAsia"/>
          <w:b/>
          <w:bCs w:val="0"/>
          <w:shd w:val="clear" w:color="auto" w:fill="FFFFFF"/>
        </w:rPr>
      </w:pPr>
      <w:r>
        <w:rPr>
          <w:rFonts w:hint="eastAsia"/>
          <w:b/>
          <w:bCs w:val="0"/>
          <w:shd w:val="clear" w:color="auto" w:fill="FFFFFF"/>
        </w:rPr>
        <w:t>1.上级资金配套项目：</w:t>
      </w:r>
    </w:p>
    <w:p w14:paraId="21710CC8">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（1）国家和省级项目合同书（或任务书或申报书）；</w:t>
      </w:r>
    </w:p>
    <w:p w14:paraId="09041240">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（2）国家和省级项目财政资助到账凭证、资金下达文件；</w:t>
      </w:r>
    </w:p>
    <w:p w14:paraId="7C3CE090">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（3）项目单位场地、人员、设备资产清单等证明其在深圳市拥有开展项目的必要条件的材料；</w:t>
      </w:r>
    </w:p>
    <w:p w14:paraId="467FE0CF">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（4）国家和省级项目未获得过本市财政扶持说明；</w:t>
      </w:r>
    </w:p>
    <w:p w14:paraId="32E03FA4">
      <w:pPr>
        <w:pStyle w:val="2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（5）国家和省级项目审计报告、验收意见等相关验收材料，未验收的项目需提供项目放在深圳实施，配合主管部门进行中期检查、项目验收、资金收回等相关工作的承诺书。</w:t>
      </w:r>
    </w:p>
    <w:p w14:paraId="5FF63345">
      <w:pPr>
        <w:pStyle w:val="4"/>
        <w:ind w:firstLine="643"/>
        <w:rPr>
          <w:rFonts w:hint="eastAsia"/>
          <w:shd w:val="clear" w:color="auto" w:fill="FFFFFF"/>
        </w:rPr>
      </w:pPr>
      <w:r>
        <w:rPr>
          <w:rFonts w:hint="eastAsia"/>
          <w:shd w:val="clear" w:color="auto" w:fill="FFFFFF"/>
        </w:rPr>
        <w:t>2.供应链合作项目：</w:t>
      </w:r>
    </w:p>
    <w:p w14:paraId="0319BCDB">
      <w:pPr>
        <w:pStyle w:val="21"/>
        <w:ind w:firstLine="640"/>
        <w:rPr>
          <w:rFonts w:hint="eastAsia"/>
        </w:rPr>
      </w:pPr>
      <w:r>
        <w:rPr>
          <w:rFonts w:hint="eastAsia"/>
        </w:rPr>
        <w:t>（1）项目实施报告：报告应当包括合作双方在统计部门登记的行业代码、是否属于工业企业及不涉及关联交易情况，详细分析联合申报单位生产的超高清视频显示核心材料、零部件、装备等产品具有较强的核心竞争力，对产业发展具有带动和引领作用，并通过了项目单位的测试验证、实现了量产应用的说明，项目中双方合作金额统计及说明等；</w:t>
      </w:r>
    </w:p>
    <w:p w14:paraId="0D6EC86C">
      <w:pPr>
        <w:pStyle w:val="21"/>
        <w:ind w:firstLine="640"/>
        <w:rPr>
          <w:rFonts w:hint="eastAsia"/>
        </w:rPr>
      </w:pPr>
      <w:r>
        <w:rPr>
          <w:rFonts w:hint="eastAsia"/>
        </w:rPr>
        <w:t>（2）联合申报单位营业执照；</w:t>
      </w:r>
    </w:p>
    <w:p w14:paraId="6E0B86D0">
      <w:pPr>
        <w:pStyle w:val="21"/>
        <w:ind w:firstLine="640"/>
        <w:rPr>
          <w:rFonts w:hint="eastAsia"/>
        </w:rPr>
      </w:pPr>
      <w:r>
        <w:rPr>
          <w:rFonts w:hint="eastAsia"/>
        </w:rPr>
        <w:t>（3）项目实施前双方供应链采购合作说明；</w:t>
      </w:r>
    </w:p>
    <w:p w14:paraId="4B3FD784">
      <w:pPr>
        <w:pStyle w:val="21"/>
        <w:ind w:firstLine="640"/>
        <w:rPr>
          <w:rFonts w:hint="eastAsia"/>
        </w:rPr>
      </w:pPr>
      <w:r>
        <w:rPr>
          <w:rFonts w:hint="eastAsia"/>
        </w:rPr>
        <w:t>（4）项目采购合同、发票、凭证。</w:t>
      </w:r>
    </w:p>
    <w:p w14:paraId="6B3BC9D4">
      <w:pPr>
        <w:pStyle w:val="4"/>
        <w:ind w:firstLine="643"/>
        <w:rPr>
          <w:rFonts w:hint="eastAsia"/>
          <w:shd w:val="clear" w:color="auto" w:fill="FFFFFF"/>
        </w:rPr>
      </w:pPr>
      <w:r>
        <w:rPr>
          <w:rFonts w:hint="eastAsia"/>
          <w:shd w:val="clear" w:color="auto" w:fill="FFFFFF"/>
        </w:rPr>
        <w:t>3.标准终端应用项目：</w:t>
      </w:r>
    </w:p>
    <w:p w14:paraId="6FBAB2EA">
      <w:pPr>
        <w:pStyle w:val="20"/>
        <w:adjustRightInd w:val="0"/>
        <w:snapToGrid w:val="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1）项目实施报告：报告应当包括项目单位在统计部门登记的行业代码、是否属于工业企业，申报的产品属于超高清视频显示领域终端产品的说明，产品应用AVS3、统一多媒体互联接口等对行业具有重大创新引领作用的超高清视听标准情况，产品已实现销售和交付情况，产品销售不涉及关联交易等情况；</w:t>
      </w:r>
    </w:p>
    <w:p w14:paraId="686EA03C">
      <w:pPr>
        <w:pStyle w:val="20"/>
        <w:adjustRightInd w:val="0"/>
        <w:snapToGrid w:val="0"/>
        <w:spacing w:line="560" w:lineRule="exact"/>
        <w:ind w:firstLine="640" w:firstLineChars="200"/>
        <w:rPr>
          <w:rFonts w:ascii="仿宋_GB2312" w:eastAsia="仿宋_GB2312"/>
          <w:sz w:val="32"/>
          <w:szCs w:val="32"/>
          <w:shd w:val="clear" w:color="auto" w:fill="FFFFFF"/>
        </w:rPr>
      </w:pPr>
      <w:r>
        <w:rPr>
          <w:rFonts w:hint="eastAsia" w:ascii="仿宋_GB2312" w:eastAsia="仿宋_GB2312"/>
          <w:sz w:val="32"/>
          <w:szCs w:val="32"/>
          <w:shd w:val="clear" w:color="auto" w:fill="FFFFFF"/>
        </w:rPr>
        <w:t>（2）产品规格型号书；</w:t>
      </w:r>
    </w:p>
    <w:p w14:paraId="770606EB">
      <w:pPr>
        <w:pStyle w:val="21"/>
        <w:ind w:firstLine="640"/>
        <w:rPr>
          <w:rFonts w:hint="eastAsia"/>
        </w:rPr>
      </w:pPr>
      <w:r>
        <w:rPr>
          <w:rFonts w:hint="eastAsia"/>
        </w:rPr>
        <w:t>（3）同一类别产品合并申报清单；</w:t>
      </w:r>
    </w:p>
    <w:p w14:paraId="3D445F81">
      <w:pPr>
        <w:pStyle w:val="21"/>
        <w:ind w:firstLine="640"/>
        <w:rPr>
          <w:rFonts w:hint="eastAsia"/>
        </w:rPr>
      </w:pPr>
      <w:r>
        <w:rPr>
          <w:rFonts w:hint="eastAsia"/>
        </w:rPr>
        <w:t>（4）标准发布单位认证材料、标准发布单位授权的第三方单位出具的检测报告；</w:t>
      </w:r>
    </w:p>
    <w:p w14:paraId="0310B4B4">
      <w:pPr>
        <w:pStyle w:val="21"/>
        <w:ind w:firstLine="640"/>
        <w:rPr>
          <w:rFonts w:hint="eastAsia"/>
        </w:rPr>
      </w:pPr>
      <w:r>
        <w:rPr>
          <w:rFonts w:hint="eastAsia"/>
        </w:rPr>
        <w:t>（5）项目销售合同、发票（已享受深圳市超长期特别国债资金加力扩围支持消费品以旧换新政策的发票也可申报）、凭证</w:t>
      </w:r>
      <w:bookmarkStart w:id="1" w:name="_GoBack"/>
      <w:bookmarkEnd w:id="1"/>
      <w:r>
        <w:rPr>
          <w:rFonts w:hint="eastAsia"/>
        </w:rPr>
        <w:t>；</w:t>
      </w:r>
    </w:p>
    <w:p w14:paraId="32F112E4">
      <w:pPr>
        <w:pStyle w:val="21"/>
        <w:ind w:firstLine="640"/>
        <w:rPr>
          <w:rFonts w:hint="eastAsia"/>
        </w:rPr>
      </w:pPr>
      <w:r>
        <w:rPr>
          <w:rFonts w:hint="eastAsia"/>
        </w:rPr>
        <w:t>（6）产品品牌或终端产品ODM代工有关情况的材料，项目单位为终端产品ODM代工厂的，需提供品牌方知悉其申报本资助且品牌方自愿放弃本条政策相关权益的书面说明。</w:t>
      </w:r>
    </w:p>
    <w:p w14:paraId="656E82D4">
      <w:pPr>
        <w:autoSpaceDE w:val="0"/>
        <w:ind w:firstLine="643"/>
        <w:rPr>
          <w:rFonts w:hint="eastAsia"/>
          <w:b/>
          <w:bCs/>
        </w:rPr>
      </w:pPr>
      <w:r>
        <w:rPr>
          <w:rFonts w:hint="eastAsia"/>
          <w:b/>
          <w:bCs/>
        </w:rPr>
        <w:t>以上材料均需加盖申报单位公章，多页的还需加盖骑缝印章；一式一份，A4</w:t>
      </w:r>
      <w:r>
        <w:rPr>
          <w:rFonts w:hint="eastAsia" w:hAnsi="Calibri"/>
          <w:b/>
          <w:bCs/>
        </w:rPr>
        <w:t>纸</w:t>
      </w:r>
      <w:r>
        <w:rPr>
          <w:rFonts w:hint="eastAsia"/>
          <w:b/>
          <w:bCs/>
        </w:rPr>
        <w:t>（特殊规定的除外）正反面打印/复印，非空白页（含封面）需连续编写页码，装订成册（胶装）。</w:t>
      </w:r>
    </w:p>
    <w:p w14:paraId="5B9DF33A">
      <w:pPr>
        <w:autoSpaceDE w:val="0"/>
        <w:ind w:firstLine="640"/>
        <w:outlineLvl w:val="0"/>
        <w:rPr>
          <w:rFonts w:hint="eastAsia" w:ascii="黑体" w:hAnsi="黑体" w:eastAsia="黑体"/>
          <w:bCs/>
        </w:rPr>
      </w:pPr>
      <w:r>
        <w:rPr>
          <w:rFonts w:hint="eastAsia" w:ascii="黑体" w:hAnsi="黑体" w:eastAsia="黑体"/>
          <w:bCs/>
        </w:rPr>
        <w:t>六、项目申报登录路径</w:t>
      </w:r>
    </w:p>
    <w:p w14:paraId="5588EDB5">
      <w:pPr>
        <w:widowControl/>
        <w:autoSpaceDE w:val="0"/>
        <w:ind w:firstLine="640"/>
        <w:rPr>
          <w:rFonts w:hint="eastAsia" w:hAnsi="宋体"/>
        </w:rPr>
      </w:pPr>
      <w:r>
        <w:rPr>
          <w:rFonts w:hint="eastAsia" w:hAnsi="宋体"/>
        </w:rPr>
        <w:t>登录广东政务服务网——深圳市——市工业和信息化局——搜索申报事项名称“超高清视频显示产业专项”，选择“超高清视频显示产业发展扶持计划”事项办理申请。</w:t>
      </w:r>
    </w:p>
    <w:p w14:paraId="01141957">
      <w:pPr>
        <w:pStyle w:val="5"/>
        <w:spacing w:after="0"/>
        <w:ind w:firstLine="640"/>
        <w:rPr>
          <w:rFonts w:hint="eastAsia" w:ascii="黑体" w:hAnsi="黑体" w:eastAsia="黑体" w:cs="黑体"/>
          <w:bCs/>
        </w:rPr>
      </w:pPr>
      <w:r>
        <w:rPr>
          <w:rFonts w:hint="eastAsia" w:ascii="黑体" w:hAnsi="黑体" w:eastAsia="黑体" w:cs="黑体"/>
        </w:rPr>
        <w:t>七</w:t>
      </w:r>
      <w:r>
        <w:rPr>
          <w:rFonts w:hint="eastAsia" w:ascii="黑体" w:hAnsi="黑体" w:eastAsia="黑体" w:cs="黑体"/>
          <w:bCs/>
        </w:rPr>
        <w:t>、项目申请受理机关与时间</w:t>
      </w:r>
    </w:p>
    <w:p w14:paraId="7B1CD73F">
      <w:pPr>
        <w:autoSpaceDE w:val="0"/>
        <w:ind w:firstLine="643"/>
        <w:rPr>
          <w:rFonts w:hint="eastAsia" w:hAnsi="仿宋" w:cs="宋体"/>
        </w:rPr>
      </w:pPr>
      <w:r>
        <w:rPr>
          <w:rFonts w:hint="eastAsia" w:ascii="楷体_GB2312" w:hAnsi="楷体_GB2312" w:eastAsia="楷体_GB2312" w:cs="楷体_GB2312"/>
          <w:b/>
          <w:bCs/>
        </w:rPr>
        <w:t>（一）受理机关：</w:t>
      </w:r>
      <w:r>
        <w:rPr>
          <w:rFonts w:hint="eastAsia" w:hAnsi="仿宋" w:cs="宋体"/>
        </w:rPr>
        <w:t>深圳市工业和信息化局。</w:t>
      </w:r>
    </w:p>
    <w:p w14:paraId="1C7A9862">
      <w:pPr>
        <w:widowControl/>
        <w:autoSpaceDE w:val="0"/>
        <w:ind w:firstLine="643"/>
        <w:jc w:val="left"/>
        <w:rPr>
          <w:rFonts w:hint="eastAsia" w:ascii="楷体_GB2312" w:hAnsi="楷体_GB2312" w:eastAsia="楷体_GB2312" w:cs="楷体_GB2312"/>
          <w:b/>
          <w:bCs/>
        </w:rPr>
      </w:pPr>
      <w:r>
        <w:rPr>
          <w:rFonts w:hint="eastAsia" w:ascii="楷体_GB2312" w:hAnsi="楷体_GB2312" w:eastAsia="楷体_GB2312" w:cs="楷体_GB2312"/>
          <w:b/>
          <w:bCs/>
        </w:rPr>
        <w:t>（二）受理时间：</w:t>
      </w:r>
    </w:p>
    <w:p w14:paraId="2634966F">
      <w:pPr>
        <w:autoSpaceDE w:val="0"/>
        <w:ind w:firstLine="640"/>
        <w:outlineLvl w:val="0"/>
        <w:rPr>
          <w:rFonts w:hint="eastAsia" w:hAnsi="宋体"/>
        </w:rPr>
      </w:pPr>
      <w:r>
        <w:rPr>
          <w:rFonts w:hint="eastAsia" w:hAnsi="宋体"/>
        </w:rPr>
        <w:t>1.网络填报受理时间：申报单位需于2025年5月23日至6月6日18时，在线提交项目申请书及配套申报材料，并经过材料齐全性和内容合规性的形式预审。</w:t>
      </w:r>
    </w:p>
    <w:p w14:paraId="4A7BE7F5">
      <w:pPr>
        <w:autoSpaceDE w:val="0"/>
        <w:ind w:firstLine="640"/>
        <w:outlineLvl w:val="0"/>
        <w:rPr>
          <w:rFonts w:hint="eastAsia" w:hAnsi="宋体"/>
        </w:rPr>
      </w:pPr>
      <w:r>
        <w:rPr>
          <w:rFonts w:hint="eastAsia" w:hAnsi="宋体"/>
        </w:rPr>
        <w:t>（注：网络填报受理截止后，不再受理新提交项目的申请，网络填报截止前已提交后又被退回修改的，可继续提交在线预审，但提交时间最迟不能超过书面材料受理的截止时间。所有项目均需在线预审通过后，方可向政务服务中心递交纸质申请材料。项目申请书需在线打印）；</w:t>
      </w:r>
    </w:p>
    <w:p w14:paraId="0E7E6E5C">
      <w:pPr>
        <w:autoSpaceDE w:val="0"/>
        <w:ind w:firstLine="640"/>
        <w:outlineLvl w:val="0"/>
        <w:rPr>
          <w:rFonts w:hint="eastAsia" w:hAnsi="宋体"/>
        </w:rPr>
      </w:pPr>
      <w:r>
        <w:rPr>
          <w:rFonts w:hint="eastAsia" w:hAnsi="宋体"/>
        </w:rPr>
        <w:t>2.书面材料受理时间：申报单位需于2025年5月27日至6月16日（工作时间），到市民中心政务服务中心综合受理窗口提交项目申请书等相关纸质材料。</w:t>
      </w:r>
    </w:p>
    <w:p w14:paraId="235C766C">
      <w:pPr>
        <w:autoSpaceDE w:val="0"/>
        <w:ind w:firstLine="640"/>
        <w:outlineLvl w:val="0"/>
        <w:rPr>
          <w:rFonts w:hint="eastAsia" w:hAnsi="宋体"/>
        </w:rPr>
      </w:pPr>
      <w:r>
        <w:rPr>
          <w:rFonts w:hint="eastAsia" w:hAnsi="宋体"/>
        </w:rPr>
        <w:t>（注：网上预审通过后(申报状态：已预审）请及时预约到政务服务中心窗口递交纸质材料，递交了纸质材料的项目才算申报成功</w:t>
      </w:r>
      <w:r>
        <w:rPr>
          <w:rFonts w:hint="eastAsia"/>
        </w:rPr>
        <w:t>）；</w:t>
      </w:r>
    </w:p>
    <w:p w14:paraId="2D37CD26">
      <w:pPr>
        <w:autoSpaceDE w:val="0"/>
        <w:ind w:firstLine="640"/>
        <w:outlineLvl w:val="0"/>
        <w:rPr>
          <w:rFonts w:hint="eastAsia" w:hAnsi="宋体"/>
        </w:rPr>
      </w:pPr>
      <w:r>
        <w:rPr>
          <w:rFonts w:hint="eastAsia" w:hAnsi="宋体"/>
        </w:rPr>
        <w:t>3.业务咨询电话：0755-88128442、88100627、88101356</w:t>
      </w:r>
    </w:p>
    <w:p w14:paraId="50C60252">
      <w:pPr>
        <w:autoSpaceDE w:val="0"/>
        <w:adjustRightInd w:val="0"/>
        <w:snapToGrid w:val="0"/>
        <w:ind w:firstLine="640"/>
        <w:outlineLvl w:val="0"/>
        <w:rPr>
          <w:rFonts w:hint="eastAsia" w:hAnsi="宋体"/>
          <w:color w:val="000000"/>
          <w:szCs w:val="32"/>
          <w:highlight w:val="yellow"/>
        </w:rPr>
      </w:pPr>
      <w:r>
        <w:rPr>
          <w:rFonts w:hint="eastAsia" w:hAnsi="宋体"/>
        </w:rPr>
        <w:t>技术支持电话：</w:t>
      </w:r>
      <w:r>
        <w:rPr>
          <w:rFonts w:hint="eastAsia" w:hAnsi="宋体"/>
          <w:color w:val="000000"/>
          <w:szCs w:val="32"/>
        </w:rPr>
        <w:t>0755-88101744、88127031</w:t>
      </w:r>
    </w:p>
    <w:p w14:paraId="5753E39F">
      <w:pPr>
        <w:widowControl/>
        <w:autoSpaceDE w:val="0"/>
        <w:ind w:firstLine="643"/>
        <w:rPr>
          <w:rFonts w:hint="eastAsia" w:hAnsi="宋体"/>
        </w:rPr>
      </w:pPr>
      <w:r>
        <w:rPr>
          <w:rStyle w:val="13"/>
          <w:rFonts w:hint="eastAsia"/>
          <w:b/>
          <w:bCs w:val="0"/>
        </w:rPr>
        <w:t>（三）受理地点：</w:t>
      </w:r>
      <w:r>
        <w:rPr>
          <w:rFonts w:hint="eastAsia" w:hAnsi="宋体"/>
        </w:rPr>
        <w:t>深圳市福田区莲花街道福中三路1号市民中心B区一楼政务服务中心西厅综合受理窗口</w:t>
      </w:r>
    </w:p>
    <w:p w14:paraId="485030D0">
      <w:pPr>
        <w:widowControl/>
        <w:autoSpaceDE w:val="0"/>
        <w:ind w:firstLine="640"/>
        <w:rPr>
          <w:rFonts w:hint="eastAsia"/>
        </w:rPr>
      </w:pPr>
      <w:r>
        <w:rPr>
          <w:rFonts w:hint="eastAsia" w:hAnsi="宋体"/>
        </w:rPr>
        <w:t>(注：预约指南：“i深圳”APP,操作流程：【办事预约】—【深圳市】—【深圳市政务服务中心-西厅】—【在线预约】。请按照预约时段提交材料。）</w:t>
      </w:r>
    </w:p>
    <w:p w14:paraId="476D8489">
      <w:pPr>
        <w:autoSpaceDE w:val="0"/>
        <w:ind w:firstLine="640"/>
        <w:outlineLvl w:val="0"/>
        <w:rPr>
          <w:rFonts w:hint="eastAsia" w:ascii="黑体" w:hAnsi="黑体" w:eastAsia="黑体"/>
          <w:bCs/>
        </w:rPr>
      </w:pPr>
      <w:r>
        <w:rPr>
          <w:rFonts w:hint="eastAsia" w:ascii="黑体" w:hAnsi="黑体" w:eastAsia="黑体"/>
          <w:bCs/>
        </w:rPr>
        <w:t>八、资助核准机关</w:t>
      </w:r>
    </w:p>
    <w:p w14:paraId="4F8267F7">
      <w:pPr>
        <w:autoSpaceDE w:val="0"/>
        <w:ind w:firstLine="640"/>
        <w:outlineLvl w:val="0"/>
        <w:rPr>
          <w:rFonts w:hint="eastAsia" w:hAnsi="仿宋" w:cs="宋体"/>
        </w:rPr>
      </w:pPr>
      <w:r>
        <w:rPr>
          <w:rFonts w:hint="eastAsia" w:hAnsi="仿宋" w:cs="宋体"/>
        </w:rPr>
        <w:t>深圳市工业和信息化局。</w:t>
      </w:r>
    </w:p>
    <w:p w14:paraId="58DB53A8">
      <w:pPr>
        <w:autoSpaceDE w:val="0"/>
        <w:ind w:firstLine="640"/>
        <w:outlineLvl w:val="0"/>
        <w:rPr>
          <w:rFonts w:hint="eastAsia" w:ascii="黑体" w:hAnsi="黑体" w:eastAsia="黑体"/>
          <w:bCs/>
        </w:rPr>
      </w:pPr>
      <w:r>
        <w:rPr>
          <w:rFonts w:hint="eastAsia" w:ascii="黑体" w:hAnsi="黑体" w:eastAsia="黑体"/>
          <w:bCs/>
        </w:rPr>
        <w:t>九、核准流程</w:t>
      </w:r>
    </w:p>
    <w:p w14:paraId="71254791">
      <w:pPr>
        <w:autoSpaceDE w:val="0"/>
        <w:ind w:firstLine="640"/>
        <w:rPr>
          <w:rFonts w:hint="eastAsia" w:hAnsi="宋体"/>
        </w:rPr>
      </w:pPr>
      <w:r>
        <w:rPr>
          <w:rFonts w:hint="eastAsia" w:hAnsi="宋体"/>
        </w:rPr>
        <w:t>申报单位网上申报</w:t>
      </w:r>
      <w:r>
        <w:rPr>
          <w:rFonts w:hint="eastAsia"/>
        </w:rPr>
        <w:t>——</w:t>
      </w:r>
      <w:r>
        <w:rPr>
          <w:rFonts w:hint="eastAsia" w:hAnsi="仿宋" w:cs="宋体"/>
        </w:rPr>
        <w:t>市工业和信息化局</w:t>
      </w:r>
      <w:r>
        <w:rPr>
          <w:rFonts w:hint="eastAsia" w:hAnsi="宋体"/>
        </w:rPr>
        <w:t>网上预审</w:t>
      </w:r>
      <w:r>
        <w:rPr>
          <w:rFonts w:hint="eastAsia"/>
        </w:rPr>
        <w:t>——</w:t>
      </w:r>
      <w:r>
        <w:rPr>
          <w:rFonts w:hint="eastAsia" w:hAnsi="宋体"/>
        </w:rPr>
        <w:t>申报单位向市政务服务中心收文窗口提交申请材料</w:t>
      </w:r>
      <w:r>
        <w:rPr>
          <w:rFonts w:hint="eastAsia"/>
        </w:rPr>
        <w:t>——项目形式审查——专家评审（如需要）——专项审计（如需要）——征求意见——专项核查（如需要）——拟定扶持计划——社会公示——</w:t>
      </w:r>
      <w:r>
        <w:rPr>
          <w:rFonts w:hint="eastAsia" w:hAnsi="宋体"/>
        </w:rPr>
        <w:t>下达项目扶持计划</w:t>
      </w:r>
      <w:r>
        <w:rPr>
          <w:rFonts w:hint="eastAsia"/>
        </w:rPr>
        <w:t>——</w:t>
      </w:r>
      <w:r>
        <w:rPr>
          <w:rFonts w:hint="eastAsia" w:hAnsi="宋体"/>
        </w:rPr>
        <w:t>申报单位提交拨付资金资料</w:t>
      </w:r>
      <w:r>
        <w:rPr>
          <w:rFonts w:hint="eastAsia"/>
        </w:rPr>
        <w:t>——</w:t>
      </w:r>
      <w:r>
        <w:rPr>
          <w:rFonts w:hint="eastAsia" w:hAnsi="仿宋" w:cs="宋体"/>
        </w:rPr>
        <w:t>市工业和信息化局</w:t>
      </w:r>
      <w:r>
        <w:rPr>
          <w:rFonts w:hint="eastAsia" w:hAnsi="宋体"/>
        </w:rPr>
        <w:t>拨付资金。</w:t>
      </w:r>
    </w:p>
    <w:p w14:paraId="3E378953">
      <w:pPr>
        <w:autoSpaceDE w:val="0"/>
        <w:ind w:firstLine="640"/>
        <w:outlineLvl w:val="0"/>
        <w:rPr>
          <w:rFonts w:hint="eastAsia" w:ascii="黑体" w:hAnsi="黑体" w:eastAsia="黑体"/>
          <w:bCs/>
        </w:rPr>
      </w:pPr>
      <w:r>
        <w:rPr>
          <w:rFonts w:hint="eastAsia" w:ascii="黑体" w:hAnsi="黑体" w:eastAsia="黑体"/>
          <w:bCs/>
        </w:rPr>
        <w:t>十、核准时限</w:t>
      </w:r>
    </w:p>
    <w:p w14:paraId="739C1489">
      <w:pPr>
        <w:autoSpaceDE w:val="0"/>
        <w:ind w:firstLine="640"/>
        <w:outlineLvl w:val="0"/>
        <w:rPr>
          <w:rFonts w:hint="eastAsia"/>
          <w:bCs/>
        </w:rPr>
      </w:pPr>
      <w:r>
        <w:rPr>
          <w:rFonts w:hint="eastAsia"/>
          <w:bCs/>
        </w:rPr>
        <w:t>集中申报，自受理之日起90个工作日（不包括特殊程序时限</w:t>
      </w:r>
      <w:r>
        <w:rPr>
          <w:bCs/>
        </w:rPr>
        <w:t>,</w:t>
      </w:r>
      <w:r>
        <w:rPr>
          <w:rFonts w:hint="eastAsia"/>
          <w:bCs/>
        </w:rPr>
        <w:t>其中专项审计</w:t>
      </w:r>
      <w:r>
        <w:rPr>
          <w:rFonts w:hint="eastAsia"/>
        </w:rPr>
        <w:t>（如需要）</w:t>
      </w:r>
      <w:r>
        <w:rPr>
          <w:rFonts w:hint="eastAsia"/>
          <w:bCs/>
        </w:rPr>
        <w:t>45个工作日，专家评审</w:t>
      </w:r>
      <w:r>
        <w:rPr>
          <w:rFonts w:hint="eastAsia"/>
        </w:rPr>
        <w:t>（如需要）</w:t>
      </w:r>
      <w:r>
        <w:rPr>
          <w:rFonts w:hint="eastAsia"/>
          <w:bCs/>
        </w:rPr>
        <w:t>45个工作日，</w:t>
      </w:r>
      <w:r>
        <w:rPr>
          <w:rFonts w:hint="eastAsia"/>
        </w:rPr>
        <w:t>专项核查（如需要）45个工作日</w:t>
      </w:r>
      <w:r>
        <w:rPr>
          <w:rFonts w:hint="eastAsia"/>
          <w:bCs/>
        </w:rPr>
        <w:t xml:space="preserve">）。  </w:t>
      </w:r>
    </w:p>
    <w:p w14:paraId="45CCAE60">
      <w:pPr>
        <w:autoSpaceDE w:val="0"/>
        <w:ind w:firstLine="640"/>
        <w:outlineLvl w:val="0"/>
        <w:rPr>
          <w:rFonts w:hint="eastAsia" w:ascii="黑体" w:hAnsi="黑体" w:eastAsia="黑体"/>
          <w:bCs/>
        </w:rPr>
      </w:pPr>
      <w:r>
        <w:rPr>
          <w:rFonts w:hint="eastAsia" w:ascii="黑体" w:hAnsi="黑体" w:eastAsia="黑体"/>
          <w:bCs/>
        </w:rPr>
        <w:t>十一、核准结果及有效期限</w:t>
      </w:r>
    </w:p>
    <w:p w14:paraId="584A7436">
      <w:pPr>
        <w:autoSpaceDE w:val="0"/>
        <w:ind w:firstLine="640"/>
        <w:rPr>
          <w:rFonts w:hint="eastAsia" w:hAnsi="仿宋" w:cs="宋体"/>
        </w:rPr>
      </w:pPr>
      <w:r>
        <w:rPr>
          <w:rFonts w:hint="eastAsia" w:hAnsi="仿宋" w:cs="宋体"/>
        </w:rPr>
        <w:t>核准结果：市工业和信息化局关于下达超高清视频显示产业发展扶持计划资助计划的通知。</w:t>
      </w:r>
    </w:p>
    <w:p w14:paraId="3B592591">
      <w:pPr>
        <w:autoSpaceDE w:val="0"/>
        <w:ind w:firstLine="640"/>
        <w:rPr>
          <w:rFonts w:hint="eastAsia" w:hAnsi="仿宋" w:cs="宋体"/>
        </w:rPr>
      </w:pPr>
      <w:r>
        <w:rPr>
          <w:rFonts w:hint="eastAsia" w:hAnsi="仿宋" w:cs="宋体"/>
        </w:rPr>
        <w:t>有效期限：申报单位应当在收到核准文件之日起30日内，按通知规定，携带相关资料到深圳市工业和信息化局办理资金拨付手续。</w:t>
      </w:r>
    </w:p>
    <w:p w14:paraId="6602FF5E">
      <w:pPr>
        <w:autoSpaceDE w:val="0"/>
        <w:ind w:firstLine="640"/>
        <w:outlineLvl w:val="0"/>
        <w:rPr>
          <w:rFonts w:hint="eastAsia" w:ascii="黑体" w:hAnsi="黑体" w:eastAsia="黑体"/>
          <w:bCs/>
        </w:rPr>
      </w:pPr>
      <w:r>
        <w:rPr>
          <w:rFonts w:hint="eastAsia" w:ascii="黑体" w:hAnsi="黑体" w:eastAsia="黑体"/>
          <w:bCs/>
        </w:rPr>
        <w:t>十二、核准文件的行政效力</w:t>
      </w:r>
    </w:p>
    <w:p w14:paraId="1C0BB53B">
      <w:pPr>
        <w:autoSpaceDE w:val="0"/>
        <w:ind w:firstLine="640"/>
        <w:outlineLvl w:val="0"/>
        <w:rPr>
          <w:rFonts w:hint="eastAsia" w:hAnsi="楷体"/>
        </w:rPr>
      </w:pPr>
      <w:r>
        <w:rPr>
          <w:rFonts w:hint="eastAsia" w:hAnsi="仿宋" w:cs="宋体"/>
        </w:rPr>
        <w:t>申报单位</w:t>
      </w:r>
      <w:r>
        <w:rPr>
          <w:rFonts w:hint="eastAsia" w:hAnsi="楷体"/>
        </w:rPr>
        <w:t>凭核准文件获得财政专项资金资助。</w:t>
      </w:r>
    </w:p>
    <w:p w14:paraId="08346A7C">
      <w:pPr>
        <w:autoSpaceDE w:val="0"/>
        <w:ind w:firstLine="640"/>
        <w:outlineLvl w:val="0"/>
        <w:rPr>
          <w:rFonts w:hint="eastAsia" w:ascii="黑体" w:hAnsi="黑体" w:eastAsia="黑体"/>
          <w:bCs/>
        </w:rPr>
      </w:pPr>
      <w:r>
        <w:rPr>
          <w:rFonts w:hint="eastAsia" w:ascii="黑体" w:hAnsi="黑体" w:eastAsia="黑体"/>
          <w:bCs/>
        </w:rPr>
        <w:t>十三、收费</w:t>
      </w:r>
    </w:p>
    <w:p w14:paraId="5DE5C68D">
      <w:pPr>
        <w:autoSpaceDE w:val="0"/>
        <w:ind w:firstLine="640"/>
        <w:rPr>
          <w:rFonts w:hint="eastAsia" w:hAnsi="仿宋" w:cs="宋体"/>
        </w:rPr>
      </w:pPr>
      <w:r>
        <w:rPr>
          <w:rFonts w:hint="eastAsia" w:hAnsi="仿宋" w:cs="宋体"/>
        </w:rPr>
        <w:t>无。</w:t>
      </w:r>
    </w:p>
    <w:p w14:paraId="52FEEF34">
      <w:pPr>
        <w:autoSpaceDE w:val="0"/>
        <w:ind w:firstLine="640"/>
        <w:outlineLvl w:val="0"/>
        <w:rPr>
          <w:rFonts w:hint="eastAsia" w:ascii="黑体" w:hAnsi="黑体" w:eastAsia="黑体"/>
          <w:bCs/>
        </w:rPr>
      </w:pPr>
      <w:r>
        <w:rPr>
          <w:rFonts w:hint="eastAsia" w:ascii="黑体" w:hAnsi="黑体" w:eastAsia="黑体"/>
          <w:bCs/>
        </w:rPr>
        <w:t>十四、年审或年检</w:t>
      </w:r>
    </w:p>
    <w:p w14:paraId="192B91E2">
      <w:pPr>
        <w:autoSpaceDE w:val="0"/>
        <w:ind w:firstLine="640"/>
        <w:rPr>
          <w:rFonts w:hint="eastAsia" w:hAnsi="仿宋" w:cs="宋体"/>
        </w:rPr>
      </w:pPr>
      <w:r>
        <w:rPr>
          <w:rFonts w:hint="eastAsia" w:hAnsi="仿宋" w:cs="宋体"/>
        </w:rPr>
        <w:t>无。</w:t>
      </w:r>
    </w:p>
    <w:p w14:paraId="37884579">
      <w:pPr>
        <w:autoSpaceDE w:val="0"/>
        <w:ind w:firstLine="640"/>
        <w:rPr>
          <w:rFonts w:hint="eastAsia" w:ascii="黑体" w:hAnsi="黑体" w:eastAsia="黑体"/>
          <w:bCs/>
        </w:rPr>
      </w:pPr>
      <w:r>
        <w:rPr>
          <w:rFonts w:hint="eastAsia" w:ascii="黑体" w:hAnsi="黑体" w:eastAsia="黑体"/>
          <w:bCs/>
        </w:rPr>
        <w:t>十五、注意事项</w:t>
      </w:r>
    </w:p>
    <w:p w14:paraId="01DDF98B">
      <w:pPr>
        <w:autoSpaceDE w:val="0"/>
        <w:ind w:firstLine="640"/>
        <w:rPr>
          <w:rFonts w:hint="eastAsia" w:hAnsi="仿宋" w:cs="宋体"/>
        </w:rPr>
      </w:pPr>
      <w:r>
        <w:rPr>
          <w:rFonts w:hint="eastAsia" w:hAnsi="仿宋" w:cs="宋体"/>
        </w:rPr>
        <w:t>1</w:t>
      </w:r>
      <w:r>
        <w:rPr>
          <w:rFonts w:hint="eastAsia" w:hAnsi="宋体"/>
        </w:rPr>
        <w:t>.</w:t>
      </w:r>
      <w:r>
        <w:rPr>
          <w:rFonts w:hint="eastAsia" w:hAnsi="仿宋" w:cs="宋体"/>
        </w:rPr>
        <w:t>我局从未委托任何机构或个人代理本扶持计划的项目申报事宜，请申报单位自主申报，并</w:t>
      </w:r>
      <w:r>
        <w:rPr>
          <w:rFonts w:hint="eastAsia" w:hAnsi="仿宋" w:cs="宋体"/>
          <w:lang w:val="zh-CN"/>
        </w:rPr>
        <w:t>承诺在资助项目申报及审核过程中</w:t>
      </w:r>
      <w:r>
        <w:rPr>
          <w:rFonts w:hint="eastAsia" w:hAnsi="仿宋" w:cs="宋体"/>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3BBB0105">
      <w:pPr>
        <w:ind w:firstLine="640"/>
        <w:rPr>
          <w:rFonts w:hint="eastAsia" w:hAnsi="仿宋" w:cs="宋体"/>
        </w:rPr>
      </w:pPr>
      <w:r>
        <w:rPr>
          <w:rFonts w:hint="eastAsia" w:hAnsi="仿宋" w:cs="宋体"/>
          <w:shd w:val="clear" w:color="auto" w:fill="FFFFFF"/>
        </w:rPr>
        <w:t>政策法规处投诉监督“二维码”</w:t>
      </w:r>
    </w:p>
    <w:p w14:paraId="1022E727">
      <w:pPr>
        <w:pStyle w:val="8"/>
        <w:widowControl/>
        <w:shd w:val="clear" w:color="auto" w:fill="FFFFFF"/>
        <w:spacing w:before="0" w:beforeAutospacing="0" w:after="0" w:afterAutospacing="0" w:line="30" w:lineRule="atLeast"/>
        <w:rPr>
          <w:rFonts w:hint="eastAsia" w:ascii="微软雅黑" w:hAnsi="微软雅黑" w:eastAsia="微软雅黑" w:cs="微软雅黑"/>
          <w:color w:val="555555"/>
          <w:szCs w:val="24"/>
        </w:rPr>
      </w:pPr>
      <w:r>
        <w:rPr>
          <w:rFonts w:hint="eastAsia" w:ascii="微软雅黑" w:hAnsi="微软雅黑" w:eastAsia="微软雅黑" w:cs="微软雅黑"/>
          <w:color w:val="555555"/>
          <w:szCs w:val="24"/>
          <w:shd w:val="clear" w:color="auto" w:fill="FFFFFF"/>
        </w:rPr>
        <w:t>　　</w:t>
      </w:r>
      <w:r>
        <w:rPr>
          <w:rFonts w:ascii="微软雅黑" w:hAnsi="微软雅黑" w:eastAsia="微软雅黑" w:cs="微软雅黑"/>
          <w:color w:val="555555"/>
          <w:szCs w:val="24"/>
          <w:shd w:val="clear" w:color="auto" w:fill="FFFFFF"/>
        </w:rPr>
        <w:drawing>
          <wp:inline distT="0" distB="0" distL="0" distR="0">
            <wp:extent cx="2827020" cy="1051560"/>
            <wp:effectExtent l="0" t="0" r="0" b="0"/>
            <wp:docPr id="6108607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860724" name="图片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827020" cy="1051560"/>
                    </a:xfrm>
                    <a:prstGeom prst="rect">
                      <a:avLst/>
                    </a:prstGeom>
                    <a:noFill/>
                    <a:ln>
                      <a:noFill/>
                    </a:ln>
                  </pic:spPr>
                </pic:pic>
              </a:graphicData>
            </a:graphic>
          </wp:inline>
        </w:drawing>
      </w:r>
    </w:p>
    <w:p w14:paraId="260A6E7A">
      <w:pPr>
        <w:ind w:firstLine="640"/>
        <w:rPr>
          <w:rFonts w:hint="eastAsia" w:hAnsi="仿宋" w:cs="宋体"/>
        </w:rPr>
      </w:pPr>
      <w:r>
        <w:rPr>
          <w:rFonts w:hint="eastAsia" w:hAnsi="仿宋" w:cs="宋体"/>
          <w:shd w:val="clear" w:color="auto" w:fill="FFFFFF"/>
        </w:rPr>
        <w:t>机关纪委投诉监督“二维码”</w:t>
      </w:r>
    </w:p>
    <w:p w14:paraId="793D17B5">
      <w:pPr>
        <w:pStyle w:val="8"/>
        <w:widowControl/>
        <w:shd w:val="clear" w:color="auto" w:fill="FFFFFF"/>
        <w:spacing w:before="0" w:beforeAutospacing="0" w:after="0" w:afterAutospacing="0" w:line="30" w:lineRule="atLeast"/>
        <w:rPr>
          <w:rFonts w:hint="eastAsia" w:ascii="微软雅黑" w:hAnsi="微软雅黑" w:eastAsia="微软雅黑" w:cs="微软雅黑"/>
          <w:color w:val="555555"/>
          <w:szCs w:val="24"/>
        </w:rPr>
      </w:pPr>
      <w:r>
        <w:rPr>
          <w:rFonts w:hint="eastAsia" w:ascii="微软雅黑" w:hAnsi="微软雅黑" w:eastAsia="微软雅黑" w:cs="微软雅黑"/>
          <w:color w:val="555555"/>
          <w:szCs w:val="24"/>
          <w:shd w:val="clear" w:color="auto" w:fill="FFFFFF"/>
        </w:rPr>
        <w:t>　　</w:t>
      </w:r>
      <w:r>
        <w:rPr>
          <w:rFonts w:ascii="微软雅黑" w:hAnsi="微软雅黑" w:eastAsia="微软雅黑" w:cs="微软雅黑"/>
          <w:color w:val="555555"/>
          <w:szCs w:val="24"/>
          <w:shd w:val="clear" w:color="auto" w:fill="FFFFFF"/>
        </w:rPr>
        <w:drawing>
          <wp:inline distT="0" distB="0" distL="0" distR="0">
            <wp:extent cx="2827020" cy="1052195"/>
            <wp:effectExtent l="0" t="0" r="0"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827020" cy="1052195"/>
                    </a:xfrm>
                    <a:prstGeom prst="rect">
                      <a:avLst/>
                    </a:prstGeom>
                    <a:noFill/>
                    <a:ln>
                      <a:noFill/>
                    </a:ln>
                  </pic:spPr>
                </pic:pic>
              </a:graphicData>
            </a:graphic>
          </wp:inline>
        </w:drawing>
      </w:r>
    </w:p>
    <w:p w14:paraId="37C36F58">
      <w:pPr>
        <w:wordWrap w:val="0"/>
        <w:autoSpaceDE w:val="0"/>
        <w:ind w:firstLine="640"/>
        <w:contextualSpacing/>
        <w:rPr>
          <w:rFonts w:hint="eastAsia" w:hAnsi="仿宋" w:cs="宋体"/>
        </w:rPr>
      </w:pPr>
      <w:r>
        <w:rPr>
          <w:rFonts w:hAnsi="仿宋" w:cs="宋体"/>
        </w:rPr>
        <w:t>2</w:t>
      </w:r>
      <w:r>
        <w:rPr>
          <w:rFonts w:hint="eastAsia" w:hAnsi="宋体"/>
        </w:rPr>
        <w:t>.</w:t>
      </w:r>
      <w:r>
        <w:rPr>
          <w:rFonts w:hAnsi="仿宋" w:cs="宋体"/>
        </w:rPr>
        <w:t>在项目审核过程中，如发现同一年度内不同单位使用同一联系人、同一联系电话，或企业违反自主申报承诺其他情形的，原则上不予受理项目申报。</w:t>
      </w:r>
    </w:p>
    <w:p w14:paraId="5F934EB8">
      <w:pPr>
        <w:wordWrap w:val="0"/>
        <w:autoSpaceDE w:val="0"/>
        <w:ind w:firstLine="640"/>
        <w:contextualSpacing/>
        <w:rPr>
          <w:rFonts w:hint="eastAsia" w:hAnsi="仿宋" w:cs="宋体"/>
          <w:b/>
          <w:bCs/>
        </w:rPr>
      </w:pPr>
      <w:r>
        <w:rPr>
          <w:rFonts w:hint="eastAsia" w:hAnsi="仿宋" w:cs="宋体"/>
        </w:rPr>
        <w:t>3</w:t>
      </w:r>
      <w:r>
        <w:rPr>
          <w:rFonts w:hint="eastAsia" w:hAnsi="宋体"/>
        </w:rPr>
        <w:t>.</w:t>
      </w:r>
      <w:r>
        <w:rPr>
          <w:rFonts w:hint="eastAsia" w:hAnsi="仿宋" w:cs="宋体"/>
        </w:rPr>
        <w:t>本扶持计划项目严格执行《市工业和信息化局专项资金项目专项审计通用原则和标准（2022版）》，请各申请单位高度重视，特别关注的是，</w:t>
      </w:r>
      <w:r>
        <w:rPr>
          <w:rFonts w:hint="eastAsia" w:hAnsi="仿宋" w:cs="宋体"/>
          <w:b/>
          <w:bCs/>
        </w:rPr>
        <w:t>按照相关规定，经审计核减的项目支出占项目申报支出超过20%的，项目不予资助。</w:t>
      </w:r>
    </w:p>
    <w:p w14:paraId="313FDB30">
      <w:pPr>
        <w:pStyle w:val="5"/>
        <w:ind w:firstLine="640"/>
        <w:rPr>
          <w:rFonts w:hint="eastAsia" w:hAnsi="仿宋" w:cs="宋体"/>
          <w:color w:val="FF0000"/>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44DEC">
    <w:pPr>
      <w:pStyle w:val="6"/>
      <w:ind w:firstLine="360"/>
      <w:rPr>
        <w:rFonts w:hint="eastAsia"/>
      </w:rP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978535" cy="230505"/>
              <wp:effectExtent l="0" t="0" r="0" b="0"/>
              <wp:wrapNone/>
              <wp:docPr id="1" name="文本框 2"/>
              <wp:cNvGraphicFramePr/>
              <a:graphic xmlns:a="http://schemas.openxmlformats.org/drawingml/2006/main">
                <a:graphicData uri="http://schemas.microsoft.com/office/word/2010/wordprocessingShape">
                  <wps:wsp>
                    <wps:cNvSpPr txBox="1"/>
                    <wps:spPr>
                      <a:xfrm>
                        <a:off x="0" y="0"/>
                        <a:ext cx="978535" cy="230505"/>
                      </a:xfrm>
                      <a:prstGeom prst="rect">
                        <a:avLst/>
                      </a:prstGeom>
                      <a:noFill/>
                      <a:ln w="6350">
                        <a:noFill/>
                      </a:ln>
                    </wps:spPr>
                    <wps:txbx>
                      <w:txbxContent>
                        <w:p w14:paraId="4FF6A07C">
                          <w:pPr>
                            <w:pStyle w:val="6"/>
                            <w:ind w:firstLine="56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2" o:spid="_x0000_s1026" o:spt="202" type="#_x0000_t202" style="position:absolute;left:0pt;margin-top:0pt;height:18.15pt;width:77.05pt;mso-position-horizontal:outside;mso-position-horizontal-relative:margin;mso-wrap-style:none;z-index:251659264;mso-width-relative:page;mso-height-relative:page;" filled="f" stroked="f" coordsize="21600,21600" o:gfxdata="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SZagp0gAAAAQBAAAPAAAAAAAAAAEAIAAAACIAAABkcnMvZG93bnJldi54bWxQSwECFAAU&#10;AAAACACHTuJAb12W4TACAABTBAAADgAAAAAAAAABACAAAAAhAQAAZHJzL2Uyb0RvYy54bWxQSwUG&#10;AAAAAAYABgBZAQAAwwUAAAAA&#10;">
              <v:fill on="f" focussize="0,0"/>
              <v:stroke on="f" weight="0.5pt"/>
              <v:imagedata o:title=""/>
              <o:lock v:ext="edit" aspectratio="f"/>
              <v:textbox inset="0mm,0mm,0mm,0mm" style="mso-fit-shape-to-text:t;">
                <w:txbxContent>
                  <w:p w14:paraId="4FF6A07C">
                    <w:pPr>
                      <w:pStyle w:val="6"/>
                      <w:ind w:firstLine="56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74A87">
    <w:pPr>
      <w:pStyle w:val="6"/>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2DAA4">
    <w:pPr>
      <w:pStyle w:val="6"/>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50E84">
    <w:pPr>
      <w:pStyle w:val="7"/>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DC071">
    <w:pPr>
      <w:pStyle w:val="7"/>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73971">
    <w:pPr>
      <w:pStyle w:val="7"/>
      <w:ind w:firstLine="36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8E39F4"/>
    <w:multiLevelType w:val="multilevel"/>
    <w:tmpl w:val="098E39F4"/>
    <w:lvl w:ilvl="0" w:tentative="0">
      <w:start w:val="1"/>
      <w:numFmt w:val="japaneseCounting"/>
      <w:lvlText w:val="%1、"/>
      <w:lvlJc w:val="left"/>
      <w:pPr>
        <w:ind w:left="1360" w:hanging="72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ZhNmM1NTdkZDUwN2U3MWVhZWU4YTViNWI1ODA4NjIifQ=="/>
  </w:docVars>
  <w:rsids>
    <w:rsidRoot w:val="007B2C94"/>
    <w:rsid w:val="00001381"/>
    <w:rsid w:val="00005C59"/>
    <w:rsid w:val="00007BE9"/>
    <w:rsid w:val="000257A0"/>
    <w:rsid w:val="000341F5"/>
    <w:rsid w:val="000806BA"/>
    <w:rsid w:val="000806EC"/>
    <w:rsid w:val="00082930"/>
    <w:rsid w:val="0008538B"/>
    <w:rsid w:val="000C4262"/>
    <w:rsid w:val="000C6658"/>
    <w:rsid w:val="00124C9B"/>
    <w:rsid w:val="00134BA0"/>
    <w:rsid w:val="0016563C"/>
    <w:rsid w:val="001721D4"/>
    <w:rsid w:val="00181414"/>
    <w:rsid w:val="00194D39"/>
    <w:rsid w:val="00196201"/>
    <w:rsid w:val="001B3B78"/>
    <w:rsid w:val="001E06D2"/>
    <w:rsid w:val="001E3323"/>
    <w:rsid w:val="001F605B"/>
    <w:rsid w:val="001F68D0"/>
    <w:rsid w:val="00264623"/>
    <w:rsid w:val="00276627"/>
    <w:rsid w:val="00276D81"/>
    <w:rsid w:val="00277176"/>
    <w:rsid w:val="00277BEB"/>
    <w:rsid w:val="00296707"/>
    <w:rsid w:val="002D04B7"/>
    <w:rsid w:val="002F42B6"/>
    <w:rsid w:val="00304830"/>
    <w:rsid w:val="00332646"/>
    <w:rsid w:val="00371C5E"/>
    <w:rsid w:val="00381040"/>
    <w:rsid w:val="003B7694"/>
    <w:rsid w:val="003C35E2"/>
    <w:rsid w:val="003C3608"/>
    <w:rsid w:val="003D00D2"/>
    <w:rsid w:val="003E70DB"/>
    <w:rsid w:val="00400D6F"/>
    <w:rsid w:val="00406DEC"/>
    <w:rsid w:val="00415EC1"/>
    <w:rsid w:val="00440575"/>
    <w:rsid w:val="004407CD"/>
    <w:rsid w:val="00440D28"/>
    <w:rsid w:val="0046288D"/>
    <w:rsid w:val="00463541"/>
    <w:rsid w:val="00480C3E"/>
    <w:rsid w:val="004A435A"/>
    <w:rsid w:val="004A6158"/>
    <w:rsid w:val="004E3A05"/>
    <w:rsid w:val="004E413F"/>
    <w:rsid w:val="00520085"/>
    <w:rsid w:val="005210F6"/>
    <w:rsid w:val="005406A4"/>
    <w:rsid w:val="00557B08"/>
    <w:rsid w:val="0056159C"/>
    <w:rsid w:val="00563990"/>
    <w:rsid w:val="005658AF"/>
    <w:rsid w:val="00566598"/>
    <w:rsid w:val="005A3537"/>
    <w:rsid w:val="005D6E63"/>
    <w:rsid w:val="005E5D5D"/>
    <w:rsid w:val="005E7F3F"/>
    <w:rsid w:val="005F35B1"/>
    <w:rsid w:val="00600FAC"/>
    <w:rsid w:val="00666363"/>
    <w:rsid w:val="00694461"/>
    <w:rsid w:val="006D6A46"/>
    <w:rsid w:val="006E3FC5"/>
    <w:rsid w:val="007072C6"/>
    <w:rsid w:val="00707A0E"/>
    <w:rsid w:val="00731A90"/>
    <w:rsid w:val="00734541"/>
    <w:rsid w:val="00751640"/>
    <w:rsid w:val="00771265"/>
    <w:rsid w:val="00780341"/>
    <w:rsid w:val="00786251"/>
    <w:rsid w:val="007A0542"/>
    <w:rsid w:val="007B2C94"/>
    <w:rsid w:val="007D0B31"/>
    <w:rsid w:val="007F23CB"/>
    <w:rsid w:val="008119BF"/>
    <w:rsid w:val="008432DF"/>
    <w:rsid w:val="00856D1C"/>
    <w:rsid w:val="0089005C"/>
    <w:rsid w:val="008B5296"/>
    <w:rsid w:val="008D1DD0"/>
    <w:rsid w:val="008F25E0"/>
    <w:rsid w:val="00900AEF"/>
    <w:rsid w:val="00920274"/>
    <w:rsid w:val="009216DD"/>
    <w:rsid w:val="00937859"/>
    <w:rsid w:val="00940CE9"/>
    <w:rsid w:val="009807B5"/>
    <w:rsid w:val="00990F95"/>
    <w:rsid w:val="009C3AE7"/>
    <w:rsid w:val="009C4D00"/>
    <w:rsid w:val="009D0311"/>
    <w:rsid w:val="009D4285"/>
    <w:rsid w:val="009E7F8C"/>
    <w:rsid w:val="00A9227B"/>
    <w:rsid w:val="00AA4859"/>
    <w:rsid w:val="00AB6228"/>
    <w:rsid w:val="00AC602B"/>
    <w:rsid w:val="00AF6C3D"/>
    <w:rsid w:val="00B57A61"/>
    <w:rsid w:val="00B64688"/>
    <w:rsid w:val="00B70E14"/>
    <w:rsid w:val="00B84B1C"/>
    <w:rsid w:val="00B90892"/>
    <w:rsid w:val="00B971F7"/>
    <w:rsid w:val="00BC10DE"/>
    <w:rsid w:val="00BD00EF"/>
    <w:rsid w:val="00BE7162"/>
    <w:rsid w:val="00BF4D35"/>
    <w:rsid w:val="00C032C8"/>
    <w:rsid w:val="00C06928"/>
    <w:rsid w:val="00C1332C"/>
    <w:rsid w:val="00C36773"/>
    <w:rsid w:val="00C73949"/>
    <w:rsid w:val="00C77016"/>
    <w:rsid w:val="00C84999"/>
    <w:rsid w:val="00C877C0"/>
    <w:rsid w:val="00C976C2"/>
    <w:rsid w:val="00CB3533"/>
    <w:rsid w:val="00D0120B"/>
    <w:rsid w:val="00D02DBB"/>
    <w:rsid w:val="00D16B9D"/>
    <w:rsid w:val="00D20C6C"/>
    <w:rsid w:val="00D41826"/>
    <w:rsid w:val="00D7516C"/>
    <w:rsid w:val="00DA683B"/>
    <w:rsid w:val="00DB0BA7"/>
    <w:rsid w:val="00DC72DB"/>
    <w:rsid w:val="00DD19E7"/>
    <w:rsid w:val="00DE4757"/>
    <w:rsid w:val="00E10697"/>
    <w:rsid w:val="00E24672"/>
    <w:rsid w:val="00E24D73"/>
    <w:rsid w:val="00E303DB"/>
    <w:rsid w:val="00E52F7D"/>
    <w:rsid w:val="00E5612F"/>
    <w:rsid w:val="00E830A4"/>
    <w:rsid w:val="00E974D1"/>
    <w:rsid w:val="00EA0873"/>
    <w:rsid w:val="00EA1888"/>
    <w:rsid w:val="00EA37E7"/>
    <w:rsid w:val="00EB60B2"/>
    <w:rsid w:val="00EF5D52"/>
    <w:rsid w:val="00F12259"/>
    <w:rsid w:val="00F24052"/>
    <w:rsid w:val="00F25F32"/>
    <w:rsid w:val="00F435B1"/>
    <w:rsid w:val="00F47FA0"/>
    <w:rsid w:val="00F50EF7"/>
    <w:rsid w:val="00F95A40"/>
    <w:rsid w:val="00FC059C"/>
    <w:rsid w:val="00FD28F9"/>
    <w:rsid w:val="00FE7E34"/>
    <w:rsid w:val="01505F15"/>
    <w:rsid w:val="018A7679"/>
    <w:rsid w:val="02262316"/>
    <w:rsid w:val="02D2490D"/>
    <w:rsid w:val="03CA1FAF"/>
    <w:rsid w:val="04F0022B"/>
    <w:rsid w:val="05317EF1"/>
    <w:rsid w:val="06FD269B"/>
    <w:rsid w:val="07635C4A"/>
    <w:rsid w:val="09BC4A2E"/>
    <w:rsid w:val="0AD656DD"/>
    <w:rsid w:val="0B574A70"/>
    <w:rsid w:val="0B9D09F9"/>
    <w:rsid w:val="0CDB347F"/>
    <w:rsid w:val="0CF32576"/>
    <w:rsid w:val="0CF956B3"/>
    <w:rsid w:val="0DFC36AD"/>
    <w:rsid w:val="0E016FFC"/>
    <w:rsid w:val="0E124C7E"/>
    <w:rsid w:val="0EA10D5E"/>
    <w:rsid w:val="0F84395A"/>
    <w:rsid w:val="101E557F"/>
    <w:rsid w:val="12614426"/>
    <w:rsid w:val="14837AED"/>
    <w:rsid w:val="14EC0D8E"/>
    <w:rsid w:val="15063063"/>
    <w:rsid w:val="16302145"/>
    <w:rsid w:val="185145F5"/>
    <w:rsid w:val="185760AF"/>
    <w:rsid w:val="186B3C17"/>
    <w:rsid w:val="19094ED0"/>
    <w:rsid w:val="19831126"/>
    <w:rsid w:val="19B47531"/>
    <w:rsid w:val="19D35C0A"/>
    <w:rsid w:val="1B4248E9"/>
    <w:rsid w:val="1BF5780F"/>
    <w:rsid w:val="1DC37071"/>
    <w:rsid w:val="1EAD284A"/>
    <w:rsid w:val="1FE43FA1"/>
    <w:rsid w:val="20592BE1"/>
    <w:rsid w:val="20FB5A46"/>
    <w:rsid w:val="217C26E3"/>
    <w:rsid w:val="23A710EC"/>
    <w:rsid w:val="24457704"/>
    <w:rsid w:val="244D07CF"/>
    <w:rsid w:val="245259F0"/>
    <w:rsid w:val="24C70119"/>
    <w:rsid w:val="256B319A"/>
    <w:rsid w:val="26864004"/>
    <w:rsid w:val="282E0DF4"/>
    <w:rsid w:val="286839C1"/>
    <w:rsid w:val="292D4147"/>
    <w:rsid w:val="2A055081"/>
    <w:rsid w:val="2A104310"/>
    <w:rsid w:val="2A8F12D8"/>
    <w:rsid w:val="2B585F6F"/>
    <w:rsid w:val="2C002162"/>
    <w:rsid w:val="2C167BD8"/>
    <w:rsid w:val="2C5D6089"/>
    <w:rsid w:val="2C9A4365"/>
    <w:rsid w:val="2CAB6572"/>
    <w:rsid w:val="2DB60A4D"/>
    <w:rsid w:val="2DDD37F2"/>
    <w:rsid w:val="2E0C1292"/>
    <w:rsid w:val="2E5F7614"/>
    <w:rsid w:val="2F621497"/>
    <w:rsid w:val="30047255"/>
    <w:rsid w:val="30341687"/>
    <w:rsid w:val="30E262DA"/>
    <w:rsid w:val="32476D77"/>
    <w:rsid w:val="32775ED7"/>
    <w:rsid w:val="32B31CDC"/>
    <w:rsid w:val="32D3412D"/>
    <w:rsid w:val="338C4793"/>
    <w:rsid w:val="343412F1"/>
    <w:rsid w:val="347B7BC2"/>
    <w:rsid w:val="34AE30A3"/>
    <w:rsid w:val="351F5D4F"/>
    <w:rsid w:val="35D00DF7"/>
    <w:rsid w:val="36355798"/>
    <w:rsid w:val="36392E40"/>
    <w:rsid w:val="37092813"/>
    <w:rsid w:val="38091EFE"/>
    <w:rsid w:val="384D2BD3"/>
    <w:rsid w:val="389338B6"/>
    <w:rsid w:val="38B249C3"/>
    <w:rsid w:val="39BF18AF"/>
    <w:rsid w:val="3AAC1E33"/>
    <w:rsid w:val="3AED1DB7"/>
    <w:rsid w:val="3B0A4DAB"/>
    <w:rsid w:val="3D7D2088"/>
    <w:rsid w:val="3E7521E6"/>
    <w:rsid w:val="3E9C5D1B"/>
    <w:rsid w:val="3F43263A"/>
    <w:rsid w:val="407056B1"/>
    <w:rsid w:val="40D45C40"/>
    <w:rsid w:val="41AA074E"/>
    <w:rsid w:val="41AE46E3"/>
    <w:rsid w:val="42764AD5"/>
    <w:rsid w:val="4315253F"/>
    <w:rsid w:val="436239D7"/>
    <w:rsid w:val="43D23F8D"/>
    <w:rsid w:val="44BE2E8F"/>
    <w:rsid w:val="45482EA7"/>
    <w:rsid w:val="4604635B"/>
    <w:rsid w:val="46193E71"/>
    <w:rsid w:val="466C2476"/>
    <w:rsid w:val="471E5E67"/>
    <w:rsid w:val="478C7274"/>
    <w:rsid w:val="47B71E17"/>
    <w:rsid w:val="493C2BF3"/>
    <w:rsid w:val="4A7A1270"/>
    <w:rsid w:val="4A841A8D"/>
    <w:rsid w:val="4BA803F5"/>
    <w:rsid w:val="4BFC24EE"/>
    <w:rsid w:val="4D185106"/>
    <w:rsid w:val="4D447CA9"/>
    <w:rsid w:val="4D682A44"/>
    <w:rsid w:val="4D8E6952"/>
    <w:rsid w:val="4DA26074"/>
    <w:rsid w:val="4F734876"/>
    <w:rsid w:val="4F754A92"/>
    <w:rsid w:val="505D2651"/>
    <w:rsid w:val="505E1082"/>
    <w:rsid w:val="511A58F1"/>
    <w:rsid w:val="51452242"/>
    <w:rsid w:val="53642E53"/>
    <w:rsid w:val="536A5F90"/>
    <w:rsid w:val="53937294"/>
    <w:rsid w:val="54043F3E"/>
    <w:rsid w:val="558867CA"/>
    <w:rsid w:val="55C20305"/>
    <w:rsid w:val="55C951EF"/>
    <w:rsid w:val="562C310A"/>
    <w:rsid w:val="56C854A7"/>
    <w:rsid w:val="57715B3F"/>
    <w:rsid w:val="57D305A7"/>
    <w:rsid w:val="57EB4354"/>
    <w:rsid w:val="58A929FC"/>
    <w:rsid w:val="590D7AE9"/>
    <w:rsid w:val="595A1E97"/>
    <w:rsid w:val="5A2055FA"/>
    <w:rsid w:val="5A5D1005"/>
    <w:rsid w:val="5A655703"/>
    <w:rsid w:val="5AE76118"/>
    <w:rsid w:val="5C3B496D"/>
    <w:rsid w:val="5C9C5CF1"/>
    <w:rsid w:val="5E2D49DB"/>
    <w:rsid w:val="5F622211"/>
    <w:rsid w:val="5F70492E"/>
    <w:rsid w:val="5FCE1142"/>
    <w:rsid w:val="605177D4"/>
    <w:rsid w:val="608763D3"/>
    <w:rsid w:val="60EB181D"/>
    <w:rsid w:val="61493688"/>
    <w:rsid w:val="61C84EF5"/>
    <w:rsid w:val="61DC62AA"/>
    <w:rsid w:val="62373E29"/>
    <w:rsid w:val="62743F92"/>
    <w:rsid w:val="634C5CEC"/>
    <w:rsid w:val="65E43CBA"/>
    <w:rsid w:val="66434B4A"/>
    <w:rsid w:val="675A0840"/>
    <w:rsid w:val="6787315C"/>
    <w:rsid w:val="696A6892"/>
    <w:rsid w:val="69821E2D"/>
    <w:rsid w:val="6BAC7F55"/>
    <w:rsid w:val="6DE54063"/>
    <w:rsid w:val="706B361B"/>
    <w:rsid w:val="70E0047C"/>
    <w:rsid w:val="716D2C6A"/>
    <w:rsid w:val="724F2AC9"/>
    <w:rsid w:val="730971E3"/>
    <w:rsid w:val="738A200A"/>
    <w:rsid w:val="740E5704"/>
    <w:rsid w:val="746F2FAE"/>
    <w:rsid w:val="748C2B39"/>
    <w:rsid w:val="7496678D"/>
    <w:rsid w:val="753A180E"/>
    <w:rsid w:val="77B21B30"/>
    <w:rsid w:val="77DF044B"/>
    <w:rsid w:val="781F6A99"/>
    <w:rsid w:val="782567A5"/>
    <w:rsid w:val="785D6A0E"/>
    <w:rsid w:val="78C22246"/>
    <w:rsid w:val="78C338C8"/>
    <w:rsid w:val="7949417E"/>
    <w:rsid w:val="7B51165F"/>
    <w:rsid w:val="7B991F66"/>
    <w:rsid w:val="7BFC522D"/>
    <w:rsid w:val="7C4B4301"/>
    <w:rsid w:val="7D060228"/>
    <w:rsid w:val="7DE93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仿宋_GB2312" w:hAnsi="等线" w:eastAsia="仿宋_GB2312" w:cs="Times New Roman"/>
      <w:kern w:val="2"/>
      <w:sz w:val="32"/>
      <w:szCs w:val="22"/>
      <w:lang w:val="en-US" w:eastAsia="zh-CN" w:bidi="ar-SA"/>
    </w:rPr>
  </w:style>
  <w:style w:type="paragraph" w:styleId="2">
    <w:name w:val="heading 1"/>
    <w:basedOn w:val="1"/>
    <w:next w:val="1"/>
    <w:link w:val="12"/>
    <w:qFormat/>
    <w:uiPriority w:val="9"/>
    <w:pPr>
      <w:keepNext/>
      <w:keepLines/>
      <w:outlineLvl w:val="0"/>
    </w:pPr>
    <w:rPr>
      <w:rFonts w:ascii="黑体" w:eastAsia="黑体"/>
      <w:bCs/>
      <w:kern w:val="44"/>
      <w:szCs w:val="44"/>
    </w:rPr>
  </w:style>
  <w:style w:type="paragraph" w:styleId="3">
    <w:name w:val="heading 2"/>
    <w:basedOn w:val="1"/>
    <w:next w:val="1"/>
    <w:link w:val="13"/>
    <w:qFormat/>
    <w:uiPriority w:val="9"/>
    <w:pPr>
      <w:keepNext/>
      <w:keepLines/>
      <w:outlineLvl w:val="1"/>
    </w:pPr>
    <w:rPr>
      <w:rFonts w:ascii="楷体_GB2312" w:hAnsi="等线 Light" w:eastAsia="楷体_GB2312"/>
      <w:bCs/>
      <w:szCs w:val="32"/>
    </w:rPr>
  </w:style>
  <w:style w:type="paragraph" w:styleId="4">
    <w:name w:val="heading 3"/>
    <w:basedOn w:val="1"/>
    <w:next w:val="1"/>
    <w:link w:val="14"/>
    <w:qFormat/>
    <w:uiPriority w:val="9"/>
    <w:pPr>
      <w:keepNext/>
      <w:keepLines/>
      <w:outlineLvl w:val="2"/>
    </w:pPr>
    <w:rPr>
      <w:b/>
      <w:bCs/>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Body Text"/>
    <w:basedOn w:val="1"/>
    <w:link w:val="15"/>
    <w:unhideWhenUsed/>
    <w:qFormat/>
    <w:uiPriority w:val="99"/>
    <w:pPr>
      <w:spacing w:after="120"/>
    </w:pPr>
  </w:style>
  <w:style w:type="paragraph" w:styleId="6">
    <w:name w:val="footer"/>
    <w:basedOn w:val="1"/>
    <w:link w:val="16"/>
    <w:unhideWhenUsed/>
    <w:qFormat/>
    <w:uiPriority w:val="99"/>
    <w:pPr>
      <w:tabs>
        <w:tab w:val="center" w:pos="4153"/>
        <w:tab w:val="right" w:pos="8306"/>
      </w:tabs>
      <w:snapToGrid w:val="0"/>
      <w:spacing w:line="240" w:lineRule="atLeast"/>
      <w:jc w:val="left"/>
    </w:pPr>
    <w:rPr>
      <w:sz w:val="18"/>
      <w:szCs w:val="18"/>
    </w:rPr>
  </w:style>
  <w:style w:type="paragraph" w:styleId="7">
    <w:name w:val="header"/>
    <w:basedOn w:val="1"/>
    <w:link w:val="17"/>
    <w:unhideWhenUsed/>
    <w:qFormat/>
    <w:uiPriority w:val="99"/>
    <w:pPr>
      <w:tabs>
        <w:tab w:val="center" w:pos="4153"/>
        <w:tab w:val="right" w:pos="8306"/>
      </w:tabs>
      <w:snapToGrid w:val="0"/>
      <w:spacing w:line="240" w:lineRule="atLeast"/>
      <w:jc w:val="center"/>
    </w:pPr>
    <w:rPr>
      <w:sz w:val="18"/>
      <w:szCs w:val="18"/>
    </w:rPr>
  </w:style>
  <w:style w:type="paragraph" w:styleId="8">
    <w:name w:val="Normal (Web)"/>
    <w:basedOn w:val="1"/>
    <w:qFormat/>
    <w:uiPriority w:val="99"/>
    <w:pPr>
      <w:spacing w:before="100" w:beforeAutospacing="1" w:after="100" w:afterAutospacing="1" w:line="240" w:lineRule="auto"/>
      <w:ind w:firstLine="0" w:firstLineChars="0"/>
      <w:jc w:val="left"/>
    </w:pPr>
    <w:rPr>
      <w:rFonts w:ascii="Calibri" w:hAnsi="Calibri" w:eastAsia="宋体"/>
      <w:kern w:val="0"/>
      <w:sz w:val="24"/>
    </w:rPr>
  </w:style>
  <w:style w:type="paragraph" w:styleId="9">
    <w:name w:val="Title"/>
    <w:basedOn w:val="1"/>
    <w:next w:val="1"/>
    <w:link w:val="18"/>
    <w:qFormat/>
    <w:uiPriority w:val="10"/>
    <w:pPr>
      <w:ind w:firstLine="0" w:firstLineChars="0"/>
      <w:jc w:val="center"/>
      <w:outlineLvl w:val="0"/>
    </w:pPr>
    <w:rPr>
      <w:rFonts w:ascii="方正小标宋简体" w:hAnsi="等线 Light" w:eastAsia="方正小标宋简体"/>
      <w:bCs/>
      <w:sz w:val="44"/>
      <w:szCs w:val="32"/>
    </w:rPr>
  </w:style>
  <w:style w:type="character" w:customStyle="1" w:styleId="12">
    <w:name w:val="标题 1 字符"/>
    <w:basedOn w:val="11"/>
    <w:link w:val="2"/>
    <w:qFormat/>
    <w:uiPriority w:val="9"/>
    <w:rPr>
      <w:rFonts w:ascii="黑体" w:eastAsia="黑体"/>
      <w:bCs/>
      <w:kern w:val="44"/>
      <w:sz w:val="32"/>
      <w:szCs w:val="44"/>
    </w:rPr>
  </w:style>
  <w:style w:type="character" w:customStyle="1" w:styleId="13">
    <w:name w:val="标题 2 字符"/>
    <w:basedOn w:val="11"/>
    <w:link w:val="3"/>
    <w:qFormat/>
    <w:uiPriority w:val="9"/>
    <w:rPr>
      <w:rFonts w:ascii="楷体_GB2312" w:hAnsi="等线 Light" w:eastAsia="楷体_GB2312" w:cs="Times New Roman"/>
      <w:bCs/>
      <w:sz w:val="32"/>
      <w:szCs w:val="32"/>
    </w:rPr>
  </w:style>
  <w:style w:type="character" w:customStyle="1" w:styleId="14">
    <w:name w:val="标题 3 字符"/>
    <w:basedOn w:val="11"/>
    <w:link w:val="4"/>
    <w:qFormat/>
    <w:uiPriority w:val="9"/>
    <w:rPr>
      <w:rFonts w:ascii="仿宋_GB2312" w:eastAsia="仿宋_GB2312"/>
      <w:b/>
      <w:bCs/>
      <w:sz w:val="32"/>
      <w:szCs w:val="32"/>
    </w:rPr>
  </w:style>
  <w:style w:type="character" w:customStyle="1" w:styleId="15">
    <w:name w:val="正文文本 字符"/>
    <w:basedOn w:val="11"/>
    <w:link w:val="5"/>
    <w:semiHidden/>
    <w:qFormat/>
    <w:uiPriority w:val="99"/>
    <w:rPr>
      <w:rFonts w:ascii="仿宋_GB2312" w:eastAsia="仿宋_GB2312"/>
      <w:sz w:val="32"/>
    </w:rPr>
  </w:style>
  <w:style w:type="character" w:customStyle="1" w:styleId="16">
    <w:name w:val="页脚 字符"/>
    <w:basedOn w:val="11"/>
    <w:link w:val="6"/>
    <w:qFormat/>
    <w:uiPriority w:val="99"/>
    <w:rPr>
      <w:rFonts w:ascii="仿宋_GB2312" w:eastAsia="仿宋_GB2312"/>
      <w:sz w:val="18"/>
      <w:szCs w:val="18"/>
    </w:rPr>
  </w:style>
  <w:style w:type="character" w:customStyle="1" w:styleId="17">
    <w:name w:val="页眉 字符"/>
    <w:basedOn w:val="11"/>
    <w:link w:val="7"/>
    <w:qFormat/>
    <w:uiPriority w:val="99"/>
    <w:rPr>
      <w:rFonts w:ascii="仿宋_GB2312" w:eastAsia="仿宋_GB2312"/>
      <w:sz w:val="18"/>
      <w:szCs w:val="18"/>
    </w:rPr>
  </w:style>
  <w:style w:type="character" w:customStyle="1" w:styleId="18">
    <w:name w:val="标题 字符"/>
    <w:basedOn w:val="11"/>
    <w:link w:val="9"/>
    <w:qFormat/>
    <w:uiPriority w:val="10"/>
    <w:rPr>
      <w:rFonts w:ascii="方正小标宋简体" w:hAnsi="等线 Light" w:eastAsia="方正小标宋简体" w:cs="Times New Roman"/>
      <w:bCs/>
      <w:sz w:val="44"/>
      <w:szCs w:val="32"/>
    </w:rPr>
  </w:style>
  <w:style w:type="character" w:customStyle="1" w:styleId="19">
    <w:name w:val="不明显强调1"/>
    <w:basedOn w:val="11"/>
    <w:qFormat/>
    <w:uiPriority w:val="19"/>
    <w:rPr>
      <w:i/>
      <w:iCs/>
      <w:color w:val="3F3F3F"/>
    </w:rPr>
  </w:style>
  <w:style w:type="paragraph" w:customStyle="1" w:styleId="20">
    <w:name w:val="正文_0"/>
    <w:basedOn w:val="1"/>
    <w:next w:val="5"/>
    <w:qFormat/>
    <w:uiPriority w:val="0"/>
    <w:pPr>
      <w:spacing w:line="240" w:lineRule="auto"/>
      <w:ind w:firstLine="0" w:firstLineChars="0"/>
    </w:pPr>
    <w:rPr>
      <w:rFonts w:ascii="Times New Roman" w:hAnsi="Times New Roman" w:eastAsia="宋体"/>
      <w:sz w:val="21"/>
      <w:szCs w:val="21"/>
    </w:rPr>
  </w:style>
  <w:style w:type="paragraph" w:customStyle="1" w:styleId="21">
    <w:name w:val="【正文】"/>
    <w:basedOn w:val="20"/>
    <w:qFormat/>
    <w:uiPriority w:val="0"/>
    <w:pPr>
      <w:adjustRightInd w:val="0"/>
      <w:snapToGrid w:val="0"/>
      <w:spacing w:line="560" w:lineRule="exact"/>
      <w:ind w:firstLine="200" w:firstLineChars="200"/>
    </w:pPr>
    <w:rPr>
      <w:rFonts w:ascii="仿宋_GB2312" w:hAnsi="宋体" w:eastAsia="仿宋_GB2312" w:cs="宋体"/>
      <w:sz w:val="32"/>
      <w:szCs w:val="32"/>
    </w:rPr>
  </w:style>
  <w:style w:type="paragraph" w:styleId="22">
    <w:name w:val="List Paragraph"/>
    <w:basedOn w:val="1"/>
    <w:qFormat/>
    <w:uiPriority w:val="0"/>
    <w:pPr>
      <w:ind w:firstLine="420"/>
    </w:pPr>
  </w:style>
  <w:style w:type="paragraph" w:customStyle="1" w:styleId="23">
    <w:name w:val="修订1"/>
    <w:hidden/>
    <w:unhideWhenUsed/>
    <w:qFormat/>
    <w:uiPriority w:val="99"/>
    <w:rPr>
      <w:rFonts w:ascii="仿宋_GB2312" w:hAnsi="等线"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4981</Words>
  <Characters>5175</Characters>
  <Lines>142</Lines>
  <Paragraphs>123</Paragraphs>
  <TotalTime>5</TotalTime>
  <ScaleCrop>false</ScaleCrop>
  <LinksUpToDate>false</LinksUpToDate>
  <CharactersWithSpaces>5181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2025-04-16T08:04:00Z</dcterms:created>
  <dc:creator>Qian YU</dc:creator>
  <cp:lastModifiedBy>沐紫努丹</cp:lastModifiedBy>
  <dcterms:modified xsi:type="dcterms:W3CDTF">2025-05-28T03:54:46Z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10D919EA7B7040AE95758AB8E29EA0A6</vt:lpwstr>
  </property>
  <property fmtid="{D5CDD505-2E9C-101B-9397-08002B2CF9AE}" pid="4" name="KSOTemplateDocerSaveRecord">
    <vt:lpwstr>eyJoZGlkIjoiN2QwYTg1NzBjNzVhNmJmOGQwYWIwNjJmNzkyNGU0ZjgiLCJ1c2VySWQiOiI5ODA2NjkwNDgifQ==</vt:lpwstr>
  </property>
</Properties>
</file>