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ind w:left="0" w:firstLine="0"/>
        <w:jc w:val="both"/>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w:t>
      </w:r>
    </w:p>
    <w:p>
      <w:pPr>
        <w:pStyle w:val="6"/>
        <w:keepNext w:val="0"/>
        <w:keepLines w:val="0"/>
        <w:widowControl/>
        <w:suppressLineNumbers w:val="0"/>
        <w:ind w:left="0" w:firstLine="0"/>
        <w:jc w:val="center"/>
        <w:rPr>
          <w:rFonts w:hint="eastAsia" w:ascii="方正公文小标宋" w:hAnsi="方正公文小标宋" w:eastAsia="方正公文小标宋" w:cs="方正公文小标宋"/>
          <w:i w:val="0"/>
          <w:iCs w:val="0"/>
          <w:caps w:val="0"/>
          <w:color w:val="000000"/>
          <w:spacing w:val="0"/>
          <w:sz w:val="44"/>
          <w:szCs w:val="44"/>
        </w:rPr>
      </w:pPr>
      <w:r>
        <w:rPr>
          <w:rFonts w:hint="eastAsia" w:ascii="方正公文小标宋" w:hAnsi="方正公文小标宋" w:eastAsia="方正公文小标宋" w:cs="方正公文小标宋"/>
          <w:i w:val="0"/>
          <w:iCs w:val="0"/>
          <w:caps w:val="0"/>
          <w:color w:val="000000"/>
          <w:spacing w:val="0"/>
          <w:sz w:val="44"/>
          <w:szCs w:val="44"/>
        </w:rPr>
        <w:t>社会公众意见采纳情况汇总表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755"/>
        <w:gridCol w:w="3653"/>
        <w:gridCol w:w="137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Style w:val="6"/>
              <w:keepNext w:val="0"/>
              <w:keepLines w:val="0"/>
              <w:widowControl/>
              <w:suppressLineNumbers w:val="0"/>
              <w:jc w:val="center"/>
              <w:rPr>
                <w:rFonts w:hint="eastAsia" w:ascii="黑体" w:hAnsi="黑体" w:eastAsia="黑体" w:cs="黑体"/>
                <w:b w:val="0"/>
                <w:bCs w:val="0"/>
                <w:i w:val="0"/>
                <w:iCs w:val="0"/>
                <w:caps w:val="0"/>
                <w:color w:val="000000"/>
                <w:spacing w:val="0"/>
                <w:kern w:val="0"/>
                <w:sz w:val="21"/>
                <w:szCs w:val="21"/>
                <w:lang w:val="en-US" w:eastAsia="zh-CN" w:bidi="ar"/>
              </w:rPr>
            </w:pPr>
            <w:r>
              <w:rPr>
                <w:rFonts w:hint="eastAsia" w:ascii="黑体" w:hAnsi="黑体" w:eastAsia="黑体" w:cs="黑体"/>
                <w:b w:val="0"/>
                <w:bCs w:val="0"/>
                <w:i w:val="0"/>
                <w:iCs w:val="0"/>
                <w:caps w:val="0"/>
                <w:color w:val="000000"/>
                <w:spacing w:val="0"/>
                <w:kern w:val="0"/>
                <w:sz w:val="21"/>
                <w:szCs w:val="21"/>
                <w:lang w:val="en-US" w:eastAsia="zh-CN" w:bidi="ar"/>
              </w:rPr>
              <w:t>建议人</w:t>
            </w:r>
          </w:p>
        </w:tc>
        <w:tc>
          <w:tcPr>
            <w:tcW w:w="755" w:type="dxa"/>
            <w:vAlign w:val="center"/>
          </w:tcPr>
          <w:p>
            <w:pPr>
              <w:pStyle w:val="6"/>
              <w:keepNext w:val="0"/>
              <w:keepLines w:val="0"/>
              <w:widowControl/>
              <w:suppressLineNumbers w:val="0"/>
              <w:jc w:val="center"/>
              <w:rPr>
                <w:rFonts w:hint="eastAsia" w:ascii="黑体" w:hAnsi="黑体" w:eastAsia="黑体" w:cs="黑体"/>
                <w:b w:val="0"/>
                <w:bCs w:val="0"/>
                <w:i w:val="0"/>
                <w:iCs w:val="0"/>
                <w:caps w:val="0"/>
                <w:color w:val="000000"/>
                <w:spacing w:val="0"/>
                <w:kern w:val="0"/>
                <w:sz w:val="21"/>
                <w:szCs w:val="21"/>
                <w:lang w:val="en-US" w:eastAsia="zh-CN" w:bidi="ar"/>
              </w:rPr>
            </w:pPr>
            <w:r>
              <w:rPr>
                <w:rFonts w:hint="eastAsia" w:ascii="黑体" w:hAnsi="黑体" w:eastAsia="黑体" w:cs="黑体"/>
                <w:b w:val="0"/>
                <w:bCs w:val="0"/>
                <w:i w:val="0"/>
                <w:iCs w:val="0"/>
                <w:caps w:val="0"/>
                <w:color w:val="000000"/>
                <w:spacing w:val="0"/>
                <w:kern w:val="0"/>
                <w:sz w:val="21"/>
                <w:szCs w:val="21"/>
                <w:lang w:val="en-US" w:eastAsia="zh-CN" w:bidi="ar"/>
              </w:rPr>
              <w:t>序号</w:t>
            </w:r>
          </w:p>
        </w:tc>
        <w:tc>
          <w:tcPr>
            <w:tcW w:w="3653" w:type="dxa"/>
            <w:vAlign w:val="center"/>
          </w:tcPr>
          <w:p>
            <w:pPr>
              <w:pStyle w:val="6"/>
              <w:keepNext w:val="0"/>
              <w:keepLines w:val="0"/>
              <w:widowControl/>
              <w:suppressLineNumbers w:val="0"/>
              <w:jc w:val="center"/>
              <w:rPr>
                <w:rFonts w:hint="eastAsia" w:ascii="黑体" w:hAnsi="黑体" w:eastAsia="黑体" w:cs="黑体"/>
                <w:b w:val="0"/>
                <w:bCs w:val="0"/>
                <w:i w:val="0"/>
                <w:iCs w:val="0"/>
                <w:caps w:val="0"/>
                <w:color w:val="000000"/>
                <w:spacing w:val="0"/>
                <w:kern w:val="0"/>
                <w:sz w:val="21"/>
                <w:szCs w:val="21"/>
                <w:lang w:val="en-US" w:eastAsia="zh-CN" w:bidi="ar"/>
              </w:rPr>
            </w:pPr>
            <w:r>
              <w:rPr>
                <w:rFonts w:hint="eastAsia" w:ascii="黑体" w:hAnsi="黑体" w:eastAsia="黑体" w:cs="黑体"/>
                <w:b w:val="0"/>
                <w:bCs w:val="0"/>
                <w:i w:val="0"/>
                <w:iCs w:val="0"/>
                <w:caps w:val="0"/>
                <w:color w:val="000000"/>
                <w:spacing w:val="0"/>
                <w:kern w:val="0"/>
                <w:sz w:val="21"/>
                <w:szCs w:val="21"/>
                <w:lang w:val="en-US" w:eastAsia="zh-CN" w:bidi="ar"/>
              </w:rPr>
              <w:t>意见建议</w:t>
            </w:r>
          </w:p>
        </w:tc>
        <w:tc>
          <w:tcPr>
            <w:tcW w:w="1372" w:type="dxa"/>
            <w:vAlign w:val="center"/>
          </w:tcPr>
          <w:p>
            <w:pPr>
              <w:pStyle w:val="6"/>
              <w:keepNext w:val="0"/>
              <w:keepLines w:val="0"/>
              <w:widowControl/>
              <w:suppressLineNumbers w:val="0"/>
              <w:jc w:val="center"/>
              <w:rPr>
                <w:rFonts w:hint="eastAsia" w:ascii="黑体" w:hAnsi="黑体" w:eastAsia="黑体" w:cs="黑体"/>
                <w:b w:val="0"/>
                <w:bCs w:val="0"/>
                <w:i w:val="0"/>
                <w:iCs w:val="0"/>
                <w:caps w:val="0"/>
                <w:color w:val="000000"/>
                <w:spacing w:val="0"/>
                <w:kern w:val="0"/>
                <w:sz w:val="21"/>
                <w:szCs w:val="21"/>
                <w:lang w:val="en-US" w:eastAsia="zh-CN" w:bidi="ar"/>
              </w:rPr>
            </w:pPr>
            <w:r>
              <w:rPr>
                <w:rFonts w:hint="eastAsia" w:ascii="黑体" w:hAnsi="黑体" w:eastAsia="黑体" w:cs="黑体"/>
                <w:b w:val="0"/>
                <w:bCs w:val="0"/>
                <w:i w:val="0"/>
                <w:iCs w:val="0"/>
                <w:caps w:val="0"/>
                <w:color w:val="000000"/>
                <w:spacing w:val="0"/>
                <w:kern w:val="0"/>
                <w:sz w:val="21"/>
                <w:szCs w:val="21"/>
                <w:lang w:val="en-US" w:eastAsia="zh-CN" w:bidi="ar"/>
              </w:rPr>
              <w:t>采纳情况</w:t>
            </w:r>
          </w:p>
        </w:tc>
        <w:tc>
          <w:tcPr>
            <w:tcW w:w="1748" w:type="dxa"/>
          </w:tcPr>
          <w:p>
            <w:pPr>
              <w:pStyle w:val="6"/>
              <w:keepNext w:val="0"/>
              <w:keepLines w:val="0"/>
              <w:widowControl/>
              <w:suppressLineNumbers w:val="0"/>
              <w:jc w:val="center"/>
              <w:rPr>
                <w:rFonts w:hint="eastAsia" w:ascii="黑体" w:hAnsi="黑体" w:eastAsia="黑体" w:cs="黑体"/>
                <w:b w:val="0"/>
                <w:bCs w:val="0"/>
                <w:i w:val="0"/>
                <w:iCs w:val="0"/>
                <w:caps w:val="0"/>
                <w:color w:val="000000"/>
                <w:spacing w:val="0"/>
                <w:kern w:val="0"/>
                <w:sz w:val="21"/>
                <w:szCs w:val="21"/>
                <w:lang w:val="en-US" w:eastAsia="zh-CN" w:bidi="ar"/>
              </w:rPr>
            </w:pPr>
            <w:r>
              <w:rPr>
                <w:rFonts w:hint="eastAsia" w:ascii="黑体" w:hAnsi="黑体" w:eastAsia="黑体" w:cs="黑体"/>
                <w:b w:val="0"/>
                <w:bCs w:val="0"/>
                <w:i w:val="0"/>
                <w:iCs w:val="0"/>
                <w:caps w:val="0"/>
                <w:color w:val="000000"/>
                <w:spacing w:val="0"/>
                <w:kern w:val="0"/>
                <w:sz w:val="21"/>
                <w:szCs w:val="21"/>
                <w:lang w:val="en-US" w:eastAsia="zh-CN" w:bidi="ar"/>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restart"/>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韩女士</w:t>
            </w:r>
          </w:p>
        </w:tc>
        <w:tc>
          <w:tcPr>
            <w:tcW w:w="755" w:type="dxa"/>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w:t>
            </w:r>
          </w:p>
        </w:tc>
        <w:tc>
          <w:tcPr>
            <w:tcW w:w="3653" w:type="dxa"/>
            <w:vAlign w:val="center"/>
          </w:tcPr>
          <w:p>
            <w:pPr>
              <w:keepNext w:val="0"/>
              <w:keepLines w:val="0"/>
              <w:widowControl/>
              <w:suppressLineNumbers w:val="0"/>
              <w:spacing w:before="0" w:beforeAutospacing="1" w:after="0" w:afterAutospacing="1"/>
              <w:ind w:left="0" w:leftChars="0" w:right="0" w:rightChars="0" w:firstLine="0" w:firstLineChars="0"/>
              <w:jc w:val="both"/>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sz w:val="24"/>
                <w:szCs w:val="24"/>
              </w:rPr>
              <w:t>建议进一步细化申报指引，明确具体要求和注意事项，方便企业顺利申报。</w:t>
            </w:r>
          </w:p>
        </w:tc>
        <w:tc>
          <w:tcPr>
            <w:tcW w:w="1372" w:type="dxa"/>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已采纳</w:t>
            </w:r>
          </w:p>
        </w:tc>
        <w:tc>
          <w:tcPr>
            <w:tcW w:w="1748" w:type="dxa"/>
            <w:vAlign w:val="top"/>
          </w:tcPr>
          <w:p>
            <w:pPr>
              <w:keepNext w:val="0"/>
              <w:keepLines w:val="0"/>
              <w:widowControl/>
              <w:suppressLineNumbers w:val="0"/>
              <w:spacing w:before="0" w:beforeAutospacing="1" w:after="0" w:afterAutospacing="1"/>
              <w:ind w:left="0" w:leftChars="0" w:right="0" w:rightChars="0" w:firstLine="0" w:firstLineChars="0"/>
              <w:jc w:val="both"/>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在申报通知中明确申报时间、申报方式、材料要求等。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p>
        </w:tc>
        <w:tc>
          <w:tcPr>
            <w:tcW w:w="755" w:type="dxa"/>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w:t>
            </w:r>
          </w:p>
        </w:tc>
        <w:tc>
          <w:tcPr>
            <w:tcW w:w="36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sz w:val="24"/>
                <w:szCs w:val="24"/>
                <w:lang w:eastAsia="zh-CN"/>
              </w:rPr>
              <w:t>建议</w:t>
            </w:r>
            <w:r>
              <w:rPr>
                <w:rFonts w:hint="eastAsia" w:ascii="仿宋_GB2312" w:hAnsi="仿宋_GB2312" w:eastAsia="仿宋_GB2312" w:cs="仿宋_GB2312"/>
                <w:sz w:val="24"/>
                <w:szCs w:val="24"/>
              </w:rPr>
              <w:t>设立申报预审机制</w:t>
            </w:r>
            <w:bookmarkStart w:id="0" w:name="_GoBack"/>
            <w:bookmarkEnd w:id="0"/>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在正式提交申报材料前，</w:t>
            </w:r>
            <w:r>
              <w:rPr>
                <w:rFonts w:hint="eastAsia" w:ascii="仿宋_GB2312" w:hAnsi="仿宋_GB2312" w:eastAsia="仿宋_GB2312" w:cs="仿宋_GB2312"/>
                <w:sz w:val="24"/>
                <w:szCs w:val="24"/>
                <w:lang w:eastAsia="zh-CN"/>
              </w:rPr>
              <w:t>由</w:t>
            </w:r>
            <w:r>
              <w:rPr>
                <w:rFonts w:hint="eastAsia" w:ascii="仿宋_GB2312" w:hAnsi="仿宋_GB2312" w:eastAsia="仿宋_GB2312" w:cs="仿宋_GB2312"/>
                <w:sz w:val="24"/>
                <w:szCs w:val="24"/>
              </w:rPr>
              <w:t>区中小企业主管部门在规定时间内</w:t>
            </w:r>
            <w:r>
              <w:rPr>
                <w:rFonts w:hint="eastAsia" w:ascii="仿宋_GB2312" w:hAnsi="仿宋_GB2312" w:eastAsia="仿宋_GB2312" w:cs="仿宋_GB2312"/>
                <w:sz w:val="24"/>
                <w:szCs w:val="24"/>
                <w:lang w:eastAsia="zh-CN"/>
              </w:rPr>
              <w:t>进行预审并</w:t>
            </w:r>
            <w:r>
              <w:rPr>
                <w:rFonts w:hint="eastAsia" w:ascii="仿宋_GB2312" w:hAnsi="仿宋_GB2312" w:eastAsia="仿宋_GB2312" w:cs="仿宋_GB2312"/>
                <w:sz w:val="24"/>
                <w:szCs w:val="24"/>
              </w:rPr>
              <w:t>反馈预审意见，帮助企业发现并修正问题，提高申报成功率</w:t>
            </w:r>
            <w:r>
              <w:rPr>
                <w:rFonts w:hint="eastAsia" w:ascii="仿宋_GB2312" w:hAnsi="仿宋_GB2312" w:eastAsia="仿宋_GB2312" w:cs="仿宋_GB2312"/>
                <w:sz w:val="24"/>
                <w:szCs w:val="24"/>
                <w:lang w:eastAsia="zh-CN"/>
              </w:rPr>
              <w:t>。</w:t>
            </w:r>
          </w:p>
        </w:tc>
        <w:tc>
          <w:tcPr>
            <w:tcW w:w="1372" w:type="dxa"/>
            <w:vAlign w:val="center"/>
          </w:tcPr>
          <w:p>
            <w:pPr>
              <w:bidi w:val="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sz w:val="24"/>
                <w:szCs w:val="24"/>
                <w:lang w:val="en-US" w:eastAsia="zh-CN"/>
              </w:rPr>
              <w:t>已采纳</w:t>
            </w:r>
          </w:p>
        </w:tc>
        <w:tc>
          <w:tcPr>
            <w:tcW w:w="1748" w:type="dxa"/>
            <w:vAlign w:val="top"/>
          </w:tcPr>
          <w:p>
            <w:pPr>
              <w:keepNext w:val="0"/>
              <w:keepLines w:val="0"/>
              <w:widowControl/>
              <w:suppressLineNumbers w:val="0"/>
              <w:spacing w:before="0" w:beforeAutospacing="1" w:after="0" w:afterAutospacing="1"/>
              <w:ind w:left="0" w:leftChars="0" w:right="0" w:rightChars="0" w:firstLine="0" w:firstLineChars="0"/>
              <w:jc w:val="both"/>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各区中小企业主管部门加强申报辅导服务，在初审过程中，针对企业申报材料缺失等情况，指导企业补充完善。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p>
        </w:tc>
        <w:tc>
          <w:tcPr>
            <w:tcW w:w="755" w:type="dxa"/>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w:t>
            </w:r>
          </w:p>
        </w:tc>
        <w:tc>
          <w:tcPr>
            <w:tcW w:w="36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sz w:val="24"/>
                <w:szCs w:val="24"/>
                <w:lang w:eastAsia="zh-CN"/>
              </w:rPr>
              <w:t>建议建立动态监测和企业重大变化报告机制。</w:t>
            </w:r>
          </w:p>
        </w:tc>
        <w:tc>
          <w:tcPr>
            <w:tcW w:w="1372" w:type="dxa"/>
            <w:vAlign w:val="center"/>
          </w:tcPr>
          <w:p>
            <w:pPr>
              <w:bidi w:val="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sz w:val="24"/>
                <w:szCs w:val="24"/>
                <w:lang w:val="en-US" w:eastAsia="zh-CN"/>
              </w:rPr>
              <w:t>已采纳</w:t>
            </w:r>
          </w:p>
        </w:tc>
        <w:tc>
          <w:tcPr>
            <w:tcW w:w="1748" w:type="dxa"/>
            <w:vAlign w:val="top"/>
          </w:tcPr>
          <w:p>
            <w:pPr>
              <w:keepNext w:val="0"/>
              <w:keepLines w:val="0"/>
              <w:widowControl/>
              <w:suppressLineNumbers w:val="0"/>
              <w:spacing w:before="0" w:beforeAutospacing="1" w:after="0" w:afterAutospacing="1"/>
              <w:ind w:left="0" w:leftChars="0" w:right="0" w:rightChars="0" w:firstLine="0" w:firstLineChars="0"/>
              <w:jc w:val="both"/>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实施动态管理，定期开展企业信用情况核查，定期更新企业年度信息，发生重大变化的企业需提交重大变化情况报告。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restart"/>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程先生</w:t>
            </w:r>
          </w:p>
        </w:tc>
        <w:tc>
          <w:tcPr>
            <w:tcW w:w="755" w:type="dxa"/>
            <w:vAlign w:val="center"/>
          </w:tcPr>
          <w:p>
            <w:pPr>
              <w:pStyle w:val="6"/>
              <w:keepNext w:val="0"/>
              <w:keepLines w:val="0"/>
              <w:widowControl/>
              <w:suppressLineNumbers w:val="0"/>
              <w:ind w:left="0" w:leftChars="0" w:right="0" w:rightChars="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w:t>
            </w:r>
          </w:p>
        </w:tc>
        <w:tc>
          <w:tcPr>
            <w:tcW w:w="365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aps w:val="0"/>
                <w:color w:val="000000"/>
                <w:spacing w:val="0"/>
                <w:kern w:val="0"/>
                <w:sz w:val="24"/>
                <w:szCs w:val="24"/>
                <w:lang w:val="en-US" w:eastAsia="zh-CN" w:bidi="ar"/>
              </w:rPr>
              <w:t>建议《专精特新中小企业认定标准》的特色化指标中，</w:t>
            </w:r>
            <w:r>
              <w:rPr>
                <w:rFonts w:hint="eastAsia" w:ascii="仿宋_GB2312" w:hAnsi="仿宋_GB2312" w:eastAsia="仿宋_GB2312" w:cs="仿宋_GB2312"/>
                <w:sz w:val="24"/>
                <w:szCs w:val="24"/>
                <w:vertAlign w:val="baseline"/>
                <w:lang w:val="en-US" w:eastAsia="zh-CN"/>
              </w:rPr>
              <w:t>增加中国（深圳）创新创业大赛行业决赛获奖加分数。</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eastAsia="zh-CN"/>
              </w:rPr>
            </w:pPr>
          </w:p>
        </w:tc>
        <w:tc>
          <w:tcPr>
            <w:tcW w:w="1372" w:type="dxa"/>
            <w:vAlign w:val="center"/>
          </w:tcPr>
          <w:p>
            <w:pPr>
              <w:pStyle w:val="6"/>
              <w:keepNext w:val="0"/>
              <w:keepLines w:val="0"/>
              <w:widowControl/>
              <w:suppressLineNumbers w:val="0"/>
              <w:ind w:left="0" w:leftChars="0"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aps w:val="0"/>
                <w:color w:val="000000"/>
                <w:spacing w:val="0"/>
                <w:kern w:val="0"/>
                <w:sz w:val="24"/>
                <w:szCs w:val="24"/>
                <w:lang w:val="en-US" w:eastAsia="zh-CN" w:bidi="ar"/>
              </w:rPr>
              <w:t>已采纳</w:t>
            </w:r>
          </w:p>
        </w:tc>
        <w:tc>
          <w:tcPr>
            <w:tcW w:w="1748" w:type="dxa"/>
            <w:vAlign w:val="center"/>
          </w:tcPr>
          <w:p>
            <w:pPr>
              <w:pStyle w:val="6"/>
              <w:keepNext w:val="0"/>
              <w:keepLines w:val="0"/>
              <w:widowControl/>
              <w:suppressLineNumbers w:val="0"/>
              <w:ind w:left="0" w:leftChars="0" w:right="0" w:rightChars="0"/>
              <w:jc w:val="both"/>
              <w:rPr>
                <w:rFonts w:hint="eastAsia" w:ascii="仿宋_GB2312" w:hAnsi="仿宋_GB2312" w:eastAsia="仿宋_GB2312" w:cs="仿宋_GB2312"/>
                <w:i w:val="0"/>
                <w:iCs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p>
        </w:tc>
        <w:tc>
          <w:tcPr>
            <w:tcW w:w="755" w:type="dxa"/>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5</w:t>
            </w:r>
          </w:p>
        </w:tc>
        <w:tc>
          <w:tcPr>
            <w:tcW w:w="365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建议增加</w:t>
            </w:r>
            <w:r>
              <w:rPr>
                <w:rFonts w:hint="eastAsia" w:ascii="仿宋_GB2312" w:hAnsi="仿宋_GB2312" w:eastAsia="仿宋_GB2312" w:cs="仿宋_GB2312"/>
                <w:sz w:val="24"/>
                <w:szCs w:val="24"/>
                <w:vertAlign w:val="baseline"/>
                <w:lang w:val="en-US" w:eastAsia="zh-CN"/>
              </w:rPr>
              <w:t>中国创新创业大赛全国50强企业或全国总决赛获奖企业进入作为专精特新中小企业认定的直通条件。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i w:val="0"/>
                <w:iCs w:val="0"/>
                <w:caps w:val="0"/>
                <w:color w:val="000000"/>
                <w:spacing w:val="0"/>
                <w:kern w:val="0"/>
                <w:sz w:val="24"/>
                <w:szCs w:val="24"/>
                <w:lang w:val="en-US" w:eastAsia="zh-CN" w:bidi="ar"/>
              </w:rPr>
            </w:pPr>
          </w:p>
        </w:tc>
        <w:tc>
          <w:tcPr>
            <w:tcW w:w="1372" w:type="dxa"/>
            <w:vAlign w:val="center"/>
          </w:tcPr>
          <w:p>
            <w:pPr>
              <w:pStyle w:val="6"/>
              <w:keepNext w:val="0"/>
              <w:keepLines w:val="0"/>
              <w:widowControl/>
              <w:suppressLineNumbers w:val="0"/>
              <w:ind w:left="0" w:leftChars="0" w:right="0" w:rightChars="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解释说明</w:t>
            </w:r>
          </w:p>
        </w:tc>
        <w:tc>
          <w:tcPr>
            <w:tcW w:w="1748" w:type="dxa"/>
            <w:vAlign w:val="center"/>
          </w:tcPr>
          <w:p>
            <w:pPr>
              <w:pStyle w:val="6"/>
              <w:keepNext w:val="0"/>
              <w:keepLines w:val="0"/>
              <w:widowControl/>
              <w:suppressLineNumbers w:val="0"/>
              <w:ind w:left="0" w:leftChars="0" w:right="0" w:rightChars="0"/>
              <w:jc w:val="both"/>
              <w:rPr>
                <w:rFonts w:hint="eastAsia" w:ascii="宋体" w:hAnsi="宋体" w:eastAsia="宋体" w:cs="宋体"/>
                <w:b/>
                <w:bCs/>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根据工信部《优质中小企业梯度培育管理暂行办法》，除了《专精特新中小企业认定标准》中的特色化指标，其他评价指标均由工信部规定。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994"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李女士</w:t>
            </w:r>
          </w:p>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755" w:type="dxa"/>
            <w:vAlign w:val="center"/>
          </w:tcPr>
          <w:p>
            <w:pPr>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6</w:t>
            </w:r>
          </w:p>
        </w:tc>
        <w:tc>
          <w:tcPr>
            <w:tcW w:w="3653" w:type="dxa"/>
            <w:vAlign w:val="center"/>
          </w:tcPr>
          <w:p>
            <w:pPr>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部分专业技术服务业企业体量不大，但从业人员超规模被划为大型企业，导致无法申报，建议取消对申报企业属于中小企业的要求。</w:t>
            </w:r>
          </w:p>
        </w:tc>
        <w:tc>
          <w:tcPr>
            <w:tcW w:w="1372"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解释说明</w:t>
            </w:r>
          </w:p>
        </w:tc>
        <w:tc>
          <w:tcPr>
            <w:tcW w:w="1748" w:type="dxa"/>
          </w:tcPr>
          <w:p>
            <w:pPr>
              <w:pStyle w:val="6"/>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根据工信部《优质中小企业梯度培育管理暂行办法》规定，申报企业需符合《中小企业划型标准规定》，中小企业予以推荐，大企业不予推荐。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restart"/>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陈先生</w:t>
            </w:r>
          </w:p>
        </w:tc>
        <w:tc>
          <w:tcPr>
            <w:tcW w:w="755" w:type="dxa"/>
            <w:vAlign w:val="center"/>
          </w:tcPr>
          <w:p>
            <w:pPr>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7</w:t>
            </w:r>
          </w:p>
        </w:tc>
        <w:tc>
          <w:tcPr>
            <w:tcW w:w="3653" w:type="dxa"/>
            <w:vAlign w:val="center"/>
          </w:tcPr>
          <w:p>
            <w:pPr>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建议将《创新型中小企业评价标准》的成长性指标“上年度资产负债率75%以上”得分由0分修改为2分。</w:t>
            </w:r>
          </w:p>
        </w:tc>
        <w:tc>
          <w:tcPr>
            <w:tcW w:w="1372" w:type="dxa"/>
            <w:vMerge w:val="restart"/>
            <w:vAlign w:val="center"/>
          </w:tcPr>
          <w:p>
            <w:pPr>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解释说明</w:t>
            </w:r>
          </w:p>
        </w:tc>
        <w:tc>
          <w:tcPr>
            <w:tcW w:w="1748" w:type="dxa"/>
            <w:vMerge w:val="restart"/>
            <w:vAlign w:val="center"/>
          </w:tcPr>
          <w:p>
            <w:pPr>
              <w:pStyle w:val="6"/>
              <w:keepNext w:val="0"/>
              <w:keepLines w:val="0"/>
              <w:widowControl/>
              <w:suppressLineNumbers w:val="0"/>
              <w:jc w:val="both"/>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根据工信部《优质中小企业梯度培育管理暂行办法》，除了《专精特新中小企业认定标准》中的特色化指标，其他评价指标均由工信部规定。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755" w:type="dxa"/>
            <w:vAlign w:val="center"/>
          </w:tcPr>
          <w:p>
            <w:pPr>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8</w:t>
            </w:r>
          </w:p>
        </w:tc>
        <w:tc>
          <w:tcPr>
            <w:tcW w:w="3653" w:type="dxa"/>
            <w:vAlign w:val="center"/>
          </w:tcPr>
          <w:p>
            <w:pPr>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建议将《专精特新中小企业认定标准》中的认定条件：“上年度研发费用总额不低于100万元，且占营业收入总额比重不低于3%”，修改为上年度研发费用总额不低于100万元，或占营业收入总额比重不低于3%。将“上年度营业收入总额在1000万元以上”，修改为上年度营业收入总额在300万元以上。</w:t>
            </w:r>
          </w:p>
        </w:tc>
        <w:tc>
          <w:tcPr>
            <w:tcW w:w="1372" w:type="dxa"/>
            <w:vMerge w:val="continue"/>
            <w:vAlign w:val="center"/>
          </w:tcPr>
          <w:p>
            <w:pPr>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748" w:type="dxa"/>
            <w:vMerge w:val="continue"/>
          </w:tcPr>
          <w:p>
            <w:pPr>
              <w:pStyle w:val="6"/>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94" w:type="dxa"/>
            <w:vMerge w:val="continue"/>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755" w:type="dxa"/>
            <w:vAlign w:val="center"/>
          </w:tcPr>
          <w:p>
            <w:pPr>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9</w:t>
            </w:r>
          </w:p>
        </w:tc>
        <w:tc>
          <w:tcPr>
            <w:tcW w:w="3653" w:type="dxa"/>
            <w:vAlign w:val="center"/>
          </w:tcPr>
          <w:p>
            <w:pPr>
              <w:pStyle w:val="2"/>
              <w:keepNext w:val="0"/>
              <w:keepLines w:val="0"/>
              <w:pageBreakBefore w:val="0"/>
              <w:widowControl w:val="0"/>
              <w:tabs>
                <w:tab w:val="left" w:pos="1279"/>
              </w:tabs>
              <w:kinsoku/>
              <w:wordWrap/>
              <w:overflowPunct w:val="0"/>
              <w:topLinePunct w:val="0"/>
              <w:autoSpaceDE/>
              <w:autoSpaceDN/>
              <w:bidi w:val="0"/>
              <w:adjustRightInd w:val="0"/>
              <w:snapToGrid/>
              <w:spacing w:line="300" w:lineRule="exact"/>
              <w:jc w:val="both"/>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建议将《专精特新中小企业认定标准》的精细化指标“上年度资产负债率70%以上”得分由0分修改为2分。将创新能力指标“上年度研发费用投入”修改为近三年研发费用均值投入。</w:t>
            </w:r>
          </w:p>
        </w:tc>
        <w:tc>
          <w:tcPr>
            <w:tcW w:w="1372" w:type="dxa"/>
            <w:vMerge w:val="continue"/>
            <w:vAlign w:val="center"/>
          </w:tcPr>
          <w:p>
            <w:pPr>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748" w:type="dxa"/>
            <w:vMerge w:val="continue"/>
          </w:tcPr>
          <w:p>
            <w:pPr>
              <w:pStyle w:val="6"/>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755"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keepNext w:val="0"/>
              <w:keepLines w:val="0"/>
              <w:widowControl/>
              <w:suppressLineNumbers w:val="0"/>
              <w:jc w:val="center"/>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10</w:t>
            </w:r>
          </w:p>
        </w:tc>
        <w:tc>
          <w:tcPr>
            <w:tcW w:w="3653"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建议在《专精特新中小企业认定标准》的特色化指标“近三年拥有国家人才项目人员的企业（5分）、拥有省级人才项目人员的企业(3分)、拥有市级人才项目人员的企业（2分）”中增加：企业自主培养的拥有发明专利或主导研发项目的核心技术骨干(2分)。</w:t>
            </w:r>
          </w:p>
          <w:p>
            <w:pPr>
              <w:keepNext w:val="0"/>
              <w:keepLines w:val="0"/>
              <w:widowControl/>
              <w:suppressLineNumbers w:val="0"/>
              <w:ind w:left="0" w:firstLine="0"/>
              <w:jc w:val="both"/>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372"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解释说明</w:t>
            </w:r>
          </w:p>
        </w:tc>
        <w:tc>
          <w:tcPr>
            <w:tcW w:w="1748" w:type="dxa"/>
            <w:vAlign w:val="center"/>
          </w:tcPr>
          <w:p>
            <w:pPr>
              <w:keepNext w:val="0"/>
              <w:keepLines w:val="0"/>
              <w:widowControl/>
              <w:suppressLineNumbers w:val="0"/>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国家、省级、市级人才项目以相关部门制定的标准为准。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林先生</w:t>
            </w:r>
          </w:p>
        </w:tc>
        <w:tc>
          <w:tcPr>
            <w:tcW w:w="755"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jc w:val="center"/>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11</w:t>
            </w:r>
          </w:p>
        </w:tc>
        <w:tc>
          <w:tcPr>
            <w:tcW w:w="3653" w:type="dxa"/>
            <w:vAlign w:val="center"/>
          </w:tcPr>
          <w:p>
            <w:pPr>
              <w:keepNext w:val="0"/>
              <w:keepLines w:val="0"/>
              <w:widowControl/>
              <w:suppressLineNumbers w:val="0"/>
              <w:ind w:left="0" w:firstLine="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建议参照工信部《优质中小企业梯度培育管理暂行办法》，在深圳市实施细则中附带附件4 《部分指标和要求说明》。</w:t>
            </w:r>
          </w:p>
        </w:tc>
        <w:tc>
          <w:tcPr>
            <w:tcW w:w="1372"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解释说明</w:t>
            </w:r>
          </w:p>
        </w:tc>
        <w:tc>
          <w:tcPr>
            <w:tcW w:w="1748" w:type="dxa"/>
          </w:tcPr>
          <w:p>
            <w:pPr>
              <w:pStyle w:val="6"/>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相关附件为《优质中小企业梯度培育管理暂行办法》的附件，实施细则不再附带。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restart"/>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罗先生</w:t>
            </w:r>
          </w:p>
        </w:tc>
        <w:tc>
          <w:tcPr>
            <w:tcW w:w="755" w:type="dxa"/>
            <w:vAlign w:val="center"/>
          </w:tcPr>
          <w:p>
            <w:pPr>
              <w:pStyle w:val="6"/>
              <w:keepNext w:val="0"/>
              <w:keepLines w:val="0"/>
              <w:widowControl/>
              <w:suppressLineNumbers w:val="0"/>
              <w:jc w:val="center"/>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12</w:t>
            </w:r>
          </w:p>
        </w:tc>
        <w:tc>
          <w:tcPr>
            <w:tcW w:w="3653" w:type="dxa"/>
            <w:vAlign w:val="center"/>
          </w:tcPr>
          <w:p>
            <w:pPr>
              <w:keepNext w:val="0"/>
              <w:keepLines w:val="0"/>
              <w:widowControl/>
              <w:numPr>
                <w:ilvl w:val="0"/>
                <w:numId w:val="0"/>
              </w:numPr>
              <w:suppressLineNumbers w:val="0"/>
              <w:spacing w:before="0" w:beforeAutospacing="1" w:after="0" w:afterAutospacing="1"/>
              <w:ind w:leftChars="0" w:right="0" w:rightChars="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建议《专精特新中小企业认定标准》的特色化指标“近三年获得“创客中国”（深圳）中小企业创新创业大赛企业组一等奖（5分）、二等奖（4分）、三等奖（3分）、优秀奖（2分） ”修改为近三年获得鲲鹏青年创新创业行动白名单赛事获奖项目一等奖（或同等级）及以上奖项（4分）；二等奖（或同等级）及以上奖项（3分）（以上按最高得分项计分。</w:t>
            </w:r>
          </w:p>
        </w:tc>
        <w:tc>
          <w:tcPr>
            <w:tcW w:w="1372"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未采纳</w:t>
            </w:r>
          </w:p>
        </w:tc>
        <w:tc>
          <w:tcPr>
            <w:tcW w:w="1748" w:type="dxa"/>
            <w:vAlign w:val="center"/>
          </w:tcPr>
          <w:p>
            <w:pPr>
              <w:pStyle w:val="6"/>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根据工信部《优质中小企业梯度培育管理暂行办法》，不宜设置对特定群体创业的加分项。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755" w:type="dxa"/>
            <w:vAlign w:val="center"/>
          </w:tcPr>
          <w:p>
            <w:pPr>
              <w:pStyle w:val="6"/>
              <w:keepNext w:val="0"/>
              <w:keepLines w:val="0"/>
              <w:widowControl/>
              <w:suppressLineNumbers w:val="0"/>
              <w:jc w:val="center"/>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13</w:t>
            </w:r>
          </w:p>
        </w:tc>
        <w:tc>
          <w:tcPr>
            <w:tcW w:w="3653" w:type="dxa"/>
            <w:vAlign w:val="center"/>
          </w:tcPr>
          <w:p>
            <w:pPr>
              <w:keepNext w:val="0"/>
              <w:keepLines w:val="0"/>
              <w:widowControl/>
              <w:numPr>
                <w:ilvl w:val="0"/>
                <w:numId w:val="0"/>
              </w:numPr>
              <w:suppressLineNumbers w:val="0"/>
              <w:spacing w:before="0" w:beforeAutospacing="1" w:after="0" w:afterAutospacing="1"/>
              <w:ind w:leftChars="0" w:right="0" w:rightChars="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建议《专精特新中小企业认定标准》的特色化指标中，增加拥有区级人才项目人员的企业（1分），去除“最近一个年度向国家级人才项目推荐人选的企业（1分）”。</w:t>
            </w:r>
          </w:p>
          <w:p>
            <w:pPr>
              <w:keepNext w:val="0"/>
              <w:keepLines w:val="0"/>
              <w:widowControl/>
              <w:numPr>
                <w:ilvl w:val="0"/>
                <w:numId w:val="0"/>
              </w:numPr>
              <w:suppressLineNumbers w:val="0"/>
              <w:spacing w:before="0" w:beforeAutospacing="1" w:after="0" w:afterAutospacing="1"/>
              <w:ind w:leftChars="0" w:right="0" w:rightChars="0"/>
              <w:jc w:val="both"/>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372"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未采纳</w:t>
            </w:r>
          </w:p>
        </w:tc>
        <w:tc>
          <w:tcPr>
            <w:tcW w:w="1748" w:type="dxa"/>
          </w:tcPr>
          <w:p>
            <w:pPr>
              <w:pStyle w:val="6"/>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区级人才项目与国家、省、市人才项目不属于同一范畴，且各区人才项目标准不统一。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755"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jc w:val="center"/>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14</w:t>
            </w:r>
          </w:p>
        </w:tc>
        <w:tc>
          <w:tcPr>
            <w:tcW w:w="3653" w:type="dxa"/>
            <w:vAlign w:val="center"/>
          </w:tcPr>
          <w:p>
            <w:pPr>
              <w:keepNext w:val="0"/>
              <w:keepLines w:val="0"/>
              <w:widowControl/>
              <w:numPr>
                <w:ilvl w:val="0"/>
                <w:numId w:val="0"/>
              </w:numPr>
              <w:suppressLineNumbers w:val="0"/>
              <w:spacing w:before="0" w:beforeAutospacing="1" w:after="0" w:afterAutospacing="1"/>
              <w:ind w:leftChars="0" w:right="0" w:rightChars="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建议《专精特新中小企业认定标准》的特色化指标中，新增近5年获“深圳市市长质量奖”荣誉企业（5分），获“深圳市知名品牌”荣誉企业（2分），获“圳品”产品认证企业（1分），入选深圳市工业和信息化局创新产品推广应用目录的产品企业（1分），3年入选深圳市瞪羚企业培育库企业（10分）。</w:t>
            </w:r>
          </w:p>
        </w:tc>
        <w:tc>
          <w:tcPr>
            <w:tcW w:w="1372" w:type="dxa"/>
            <w:vAlign w:val="center"/>
          </w:tcPr>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p>
          <w:p>
            <w:pPr>
              <w:pStyle w:val="6"/>
              <w:keepNext w:val="0"/>
              <w:keepLines w:val="0"/>
              <w:widowControl/>
              <w:suppressLineNumbers w:val="0"/>
              <w:jc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未采纳</w:t>
            </w:r>
          </w:p>
        </w:tc>
        <w:tc>
          <w:tcPr>
            <w:tcW w:w="1748" w:type="dxa"/>
          </w:tcPr>
          <w:p>
            <w:pPr>
              <w:pStyle w:val="6"/>
              <w:keepNext w:val="0"/>
              <w:keepLines w:val="0"/>
              <w:widowControl/>
              <w:suppressLineNumbers w:val="0"/>
              <w:jc w:val="both"/>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《专精特新中小企业认定标准》中，已规定对企业获得质量奖、拥有自主品牌以及创新能力等予以加分。瞪羚企业认定标准尚未明确。</w:t>
            </w:r>
          </w:p>
        </w:tc>
      </w:tr>
    </w:tbl>
    <w:p>
      <w:pPr>
        <w:rPr>
          <w:rFonts w:hint="eastAsia" w:ascii="宋体" w:hAnsi="宋体" w:eastAsia="宋体" w:cs="宋体"/>
          <w:i w:val="0"/>
          <w:iCs w:val="0"/>
          <w:caps w:val="0"/>
          <w:color w:val="000000"/>
          <w:spacing w:val="0"/>
          <w:kern w:val="0"/>
          <w:sz w:val="21"/>
          <w:szCs w:val="21"/>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00"/>
    <w:family w:val="modern"/>
    <w:pitch w:val="default"/>
    <w:sig w:usb0="00000000" w:usb1="00000000" w:usb2="0000001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mJiMDM5MWYyOGMxZWE2ZjZlYmY1ZTRmYzMxMDMifQ=="/>
  </w:docVars>
  <w:rsids>
    <w:rsidRoot w:val="00000000"/>
    <w:rsid w:val="005E5024"/>
    <w:rsid w:val="02A81BC7"/>
    <w:rsid w:val="05EB6BAF"/>
    <w:rsid w:val="063761C5"/>
    <w:rsid w:val="21CF5A0E"/>
    <w:rsid w:val="24AF03E5"/>
    <w:rsid w:val="301E0862"/>
    <w:rsid w:val="3DFF3B43"/>
    <w:rsid w:val="3FF3C0C8"/>
    <w:rsid w:val="55F72972"/>
    <w:rsid w:val="5F025C16"/>
    <w:rsid w:val="63FC4A0B"/>
    <w:rsid w:val="730D0006"/>
    <w:rsid w:val="737D8061"/>
    <w:rsid w:val="73FC9AEB"/>
    <w:rsid w:val="7BFF9699"/>
    <w:rsid w:val="7DDB550D"/>
    <w:rsid w:val="7EF67B91"/>
    <w:rsid w:val="9F9FC0A3"/>
    <w:rsid w:val="A77E702E"/>
    <w:rsid w:val="AFBEE796"/>
    <w:rsid w:val="BF157614"/>
    <w:rsid w:val="CEF7EFBE"/>
    <w:rsid w:val="D6670A56"/>
    <w:rsid w:val="DEEBC931"/>
    <w:rsid w:val="E7FAEE51"/>
    <w:rsid w:val="F35745B8"/>
    <w:rsid w:val="FEE7FD2C"/>
    <w:rsid w:val="FFA735DD"/>
    <w:rsid w:val="FFC7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rPr>
      <w:rFonts w:hint="eastAsia"/>
      <w:sz w:val="32"/>
      <w:szCs w:val="24"/>
    </w:rPr>
  </w:style>
  <w:style w:type="paragraph" w:styleId="3">
    <w:name w:val="Body Text First Indent"/>
    <w:basedOn w:val="2"/>
    <w:qFormat/>
    <w:uiPriority w:val="0"/>
    <w:pPr>
      <w:ind w:firstLine="100" w:firstLineChars="100"/>
    </w:pPr>
    <w:rPr>
      <w:rFonts w:eastAsia="文星简小标宋"/>
      <w:sz w:val="4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1039</Words>
  <Characters>1063</Characters>
  <Lines>0</Lines>
  <Paragraphs>0</Paragraphs>
  <TotalTime>3</TotalTime>
  <ScaleCrop>false</ScaleCrop>
  <LinksUpToDate>false</LinksUpToDate>
  <CharactersWithSpaces>1067</CharactersWithSpaces>
  <Application>WPS Office_11.8.2.12125_F1E327BC-269C-435d-A152-05C5408002CA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2022-10-05T09:00:00Z</dcterms:created>
  <dc:creator>Administrator</dc:creator>
  <cp:lastModifiedBy>chenfang</cp:lastModifiedBy>
  <dcterms:modified xsi:type="dcterms:W3CDTF">2025-06-12T11:37:31Z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2052-11.8.2.12125</vt:lpwstr>
  </property>
  <property fmtid="{D5CDD505-2E9C-101B-9397-08002B2CF9AE}" pid="3" name="ICV">
    <vt:lpwstr>7C5830152E6749498D9677299A261C5D</vt:lpwstr>
  </property>
</Properties>
</file>