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E9EA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《深圳市工业和信息化产业发展专项资金管理办法》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 w14:paraId="09B9FFD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7B48D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根据《深圳市行政机关规范性文件管理规定》，考虑到《深圳市工业和信息化产业发展专项资金管理办法》（深工信规〔2020〕9号，以下简称2020版《管理办法》）于2025年5月7日到期失效，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为更好地规范和加强深圳市工业和信息化产业发展专项资金管理，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确保市工业和信息化产业发展专项资金管理有法可依，市工业和信息化局对2020版《管理办法》进行了修订完善，形成《深圳市工业和信息化产业发展专项资金管理办法》（以下简称：《管理办法》），说明如下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 w14:paraId="6A6A265C"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一、基本情况</w:t>
      </w:r>
    </w:p>
    <w:p w14:paraId="26C65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（一）起草背景。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4月，市工业和信息化局会同市财政局出台了2020版《管理办法》，自实施以来，为市级工信领域专项资金规范化管理提供了有力的法规保障。2025年5月，2020版《管理办法》到期失效，为进一步规范市级工信领域专项资金管理，提升资金管理使用工作质量和水平，结合巡视巡察、纪委和审计等工作新要求，在2020版《管理办法》基础上进行了修订完善。</w:t>
      </w:r>
    </w:p>
    <w:p w14:paraId="088C5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（二）编制过程情况。</w:t>
      </w:r>
    </w:p>
    <w:p w14:paraId="3DBD0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年上半年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，市工业和信息化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启动了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修订工作，在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工业和信息化领域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产业发展专项资金管理工作中遇到的关键问题和工作机制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基础上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，以问题为导向，科学合理进行职责划分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按照重大行政决策事项制定程序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公开征求意见、有关部门征求意见、听证会、专家论证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和风险评估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等程序，并综合各方意见修订完善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一是召开座谈交流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与市发改委、市科创局等多个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部门开展了座谈交流。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二是开展实地调研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，专门赴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南山区工信局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等重点区工信主管部门，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先期调研和论证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三是公开征求意见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，收集社会公开征求意见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2条，有关意见均已采纳。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四是书面征求意见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向市直各有关部门、各区征求意见，共收到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38条意见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，有关意见均已采纳。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五是司法审查意见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，经司法局合法性审查，共收到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2条意见，有关意见均已采纳。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六是开展公平竞争审查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，经审查，《管理办法》不具有排除、限制竞争效果的内容。</w:t>
      </w:r>
    </w:p>
    <w:p w14:paraId="5D8216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</w:t>
      </w:r>
    </w:p>
    <w:p w14:paraId="195FE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管理办法共八章三十三条。</w:t>
      </w:r>
    </w:p>
    <w:p w14:paraId="0A9F3C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第一章总则，共3条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。明确管理办法制定的依据，定义深圳市工业和信息化发展专项资金的内容，提出专项资金资助计划事项内容，规定专项资金管理的原则。</w:t>
      </w:r>
    </w:p>
    <w:p w14:paraId="3B6128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第二章部门职责，共4条。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主要规定了专项资金管理各相关方职责，包括市工业和信息化部门、项目单位、第三方专业服务机构和评审专家。</w:t>
      </w:r>
    </w:p>
    <w:p w14:paraId="7D82E52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第三章资金使用范围、条件和方式，共4条。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主要规定了专项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资金使用范围、条件和方式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市工业和信息化专项资金重点支持现代产业体系、高质量发展、中小微企业等领域，以及国家、省和市委市政府要求的其他领域；专项资金支持对象包括本市符合要求的企业、事业单位、社会组织、个人及经批准的其他对象；专项资金支持方式有事前引导类、事后奖补类、政府主导类等。</w:t>
      </w:r>
    </w:p>
    <w:p w14:paraId="7B34421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第四章项目储备，共5条。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细化规定了专项资金项目储备全流程。项目储备与审核全流程主要包括：发布年度申请指南、受理初审、专家评审、专项审计、现场核查、拟定资助计划和公示等环节。</w:t>
      </w:r>
    </w:p>
    <w:p w14:paraId="192945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第五章预算编制、执行和决算，共6条。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主要规定了预算编制与执行相关内容。主要包括开展预算编制工作、下达资助计划、跟踪执行情况、编制决算并向社会公开。</w:t>
      </w:r>
    </w:p>
    <w:p w14:paraId="6B1F403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第六章绩效管理，共3条。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主要规定了绩效管理相关内容。市工业和信息化部门每年对专项资金开展绩效评价，获得资金的项目单位应当接受监督检查，按规定使用资金，完成绩效自评。</w:t>
      </w:r>
    </w:p>
    <w:p w14:paraId="2AB6C95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第七章监督管理，共5条。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主要规定了对项目、项目单位、第三方专业服务机构和工作人员的监督管理。建立事前、事中、事后管理制度，明确了退回资金的情形、对第三方专业服务机构监督考核、工作人员违规行为的处理方式。</w:t>
      </w:r>
    </w:p>
    <w:p w14:paraId="1DBD648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第八章附则，共3条。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主要规定了转移支付资金参照管理、解释权、实施日期和有效期。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9E266E-EA92-4FEF-B0D2-560BFA9C43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7DD4A7F-29F4-48AE-B138-9B4D30C4F6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FB3CDF0-19DE-4A2D-86B5-245CF8C6CB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403FC">
    <w:pPr>
      <w:pStyle w:val="5"/>
      <w:rPr>
        <w:rFonts w:hint="eastAsia" w:asciiTheme="minorEastAsia" w:hAnsiTheme="minorEastAsia" w:eastAsiaTheme="minorEastAsia" w:cstheme="minorEastAsia"/>
        <w:sz w:val="24"/>
        <w:szCs w:val="24"/>
      </w:rPr>
    </w:pPr>
    <w:r>
      <w:rPr>
        <w:rFonts w:hint="eastAsia" w:asciiTheme="minorEastAsia" w:hAnsiTheme="minorEastAsia" w:eastAsiaTheme="minorEastAsia" w:cstheme="minorEastAsia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DCA3E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6DCA3E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13370"/>
    <w:rsid w:val="346C2CBB"/>
    <w:rsid w:val="5487AB7A"/>
    <w:rsid w:val="69DD6165"/>
    <w:rsid w:val="6D7F967A"/>
    <w:rsid w:val="7DDF0437"/>
    <w:rsid w:val="7FD42901"/>
    <w:rsid w:val="BD7D6843"/>
    <w:rsid w:val="BF6F6163"/>
    <w:rsid w:val="E3683A4B"/>
    <w:rsid w:val="EFDF2BB8"/>
    <w:rsid w:val="F3D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1487</Words>
  <Characters>1518</Characters>
  <Lines>0</Lines>
  <Paragraphs>0</Paragraphs>
  <TotalTime>7</TotalTime>
  <ScaleCrop>false</ScaleCrop>
  <LinksUpToDate>false</LinksUpToDate>
  <CharactersWithSpaces>1518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lulu最爱重口味</cp:lastModifiedBy>
  <dcterms:modified xsi:type="dcterms:W3CDTF">2025-09-28T10:42:58Z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3E07DF8FC346E6AA8FF41168079BF92A</vt:lpwstr>
  </property>
  <property fmtid="{D5CDD505-2E9C-101B-9397-08002B2CF9AE}" pid="4" name="KSOTemplateDocerSaveRecord">
    <vt:lpwstr>eyJoZGlkIjoiZjg5NzkwMWRjZjBiNzk5YzVmYWFlYWYzZTQ2OTE0Y2YiLCJ1c2VySWQiOiIzMzExNTQxOTkifQ==</vt:lpwstr>
  </property>
</Properties>
</file>