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1FF581">
      <w:pPr>
        <w:pStyle w:val="4"/>
        <w:keepNext/>
        <w:keepLines/>
        <w:pageBreakBefore w:val="0"/>
        <w:widowControl w:val="0"/>
        <w:numPr>
          <w:ilvl w:val="1"/>
          <w:numId w:val="0"/>
        </w:numPr>
        <w:kinsoku/>
        <w:wordWrap/>
        <w:overflowPunct/>
        <w:topLinePunct w:val="0"/>
        <w:autoSpaceDE/>
        <w:autoSpaceDN/>
        <w:bidi w:val="0"/>
        <w:adjustRightInd/>
        <w:snapToGrid w:val="0"/>
        <w:spacing w:before="0" w:beforeLines="-2147483648" w:beforeAutospacing="0" w:after="0" w:afterLines="-2147483648" w:afterAutospacing="0" w:line="360" w:lineRule="auto"/>
        <w:ind w:leftChars="0"/>
        <w:jc w:val="center"/>
        <w:textAlignment w:val="auto"/>
        <w:rPr>
          <w:rFonts w:hint="default" w:cs="Times New Roman"/>
          <w:bCs/>
          <w:kern w:val="2"/>
          <w:sz w:val="36"/>
          <w:szCs w:val="36"/>
          <w:lang w:val="en-US" w:eastAsia="zh-CN"/>
        </w:rPr>
      </w:pPr>
      <w:r>
        <w:rPr>
          <w:rFonts w:hint="eastAsia" w:cs="Times New Roman"/>
          <w:bCs/>
          <w:kern w:val="2"/>
          <w:sz w:val="36"/>
          <w:szCs w:val="36"/>
          <w:lang w:val="en-US" w:eastAsia="zh-CN"/>
        </w:rPr>
        <w:t>《微生物降解塑料制品使用和循环再利用指南》</w:t>
      </w:r>
    </w:p>
    <w:p w14:paraId="51C3231D">
      <w:pPr>
        <w:pStyle w:val="4"/>
        <w:keepNext/>
        <w:keepLines/>
        <w:pageBreakBefore w:val="0"/>
        <w:widowControl w:val="0"/>
        <w:numPr>
          <w:ilvl w:val="1"/>
          <w:numId w:val="0"/>
        </w:numPr>
        <w:kinsoku/>
        <w:wordWrap/>
        <w:overflowPunct/>
        <w:topLinePunct w:val="0"/>
        <w:autoSpaceDE/>
        <w:autoSpaceDN/>
        <w:bidi w:val="0"/>
        <w:adjustRightInd/>
        <w:snapToGrid w:val="0"/>
        <w:spacing w:before="0" w:beforeLines="-2147483648" w:beforeAutospacing="0" w:after="0" w:afterLines="-2147483648" w:afterAutospacing="0" w:line="360" w:lineRule="auto"/>
        <w:ind w:leftChars="0"/>
        <w:jc w:val="center"/>
        <w:textAlignment w:val="auto"/>
        <w:rPr>
          <w:rFonts w:hint="eastAsia" w:cs="Times New Roman"/>
          <w:bCs/>
          <w:kern w:val="2"/>
          <w:sz w:val="36"/>
          <w:szCs w:val="36"/>
          <w:lang w:val="en-US" w:eastAsia="zh-CN"/>
        </w:rPr>
      </w:pPr>
      <w:r>
        <w:rPr>
          <w:rFonts w:hint="eastAsia" w:cs="Times New Roman"/>
          <w:bCs/>
          <w:kern w:val="2"/>
          <w:sz w:val="36"/>
          <w:szCs w:val="36"/>
          <w:lang w:val="en-US" w:eastAsia="zh-CN"/>
        </w:rPr>
        <w:t>编制说明</w:t>
      </w:r>
    </w:p>
    <w:p w14:paraId="03903598">
      <w:pPr>
        <w:pStyle w:val="3"/>
        <w:widowControl w:val="0"/>
        <w:spacing w:before="160" w:beforeLines="-2147483648" w:beforeAutospacing="0" w:after="160" w:afterLines="-2147483648" w:afterAutospacing="0" w:line="240" w:lineRule="auto"/>
        <w:ind w:left="0"/>
        <w:rPr>
          <w:rFonts w:hint="eastAsia" w:ascii="黑体" w:hAnsi="黑体" w:eastAsia="黑体" w:cs="黑体"/>
          <w:b/>
          <w:bCs/>
          <w:sz w:val="32"/>
          <w:szCs w:val="44"/>
          <w:lang w:val="en-US" w:eastAsia="zh-CN"/>
        </w:rPr>
      </w:pPr>
      <w:r>
        <w:rPr>
          <w:rFonts w:hint="eastAsia" w:ascii="黑体" w:hAnsi="黑体" w:eastAsia="黑体" w:cs="黑体"/>
          <w:b/>
          <w:bCs/>
          <w:sz w:val="32"/>
          <w:szCs w:val="44"/>
          <w:lang w:val="en-US" w:eastAsia="zh-CN"/>
        </w:rPr>
        <w:t>项目背景</w:t>
      </w:r>
    </w:p>
    <w:p w14:paraId="1F437D57">
      <w:pPr>
        <w:keepNext w:val="0"/>
        <w:keepLines w:val="0"/>
        <w:widowControl/>
        <w:numPr>
          <w:ilvl w:val="0"/>
          <w:numId w:val="4"/>
        </w:numPr>
        <w:suppressLineNumbers w:val="0"/>
        <w:ind w:left="0" w:leftChars="0" w:firstLine="420" w:firstLineChars="0"/>
        <w:jc w:val="left"/>
        <w:rPr>
          <w:sz w:val="30"/>
          <w:szCs w:val="30"/>
        </w:rPr>
      </w:pPr>
      <w:r>
        <w:rPr>
          <w:rFonts w:ascii="楷体" w:hAnsi="楷体" w:eastAsia="楷体" w:cs="楷体"/>
          <w:color w:val="000000"/>
          <w:kern w:val="0"/>
          <w:sz w:val="30"/>
          <w:szCs w:val="30"/>
          <w:lang w:val="en-US" w:eastAsia="zh-CN" w:bidi="ar"/>
        </w:rPr>
        <w:t>国</w:t>
      </w:r>
      <w:r>
        <w:rPr>
          <w:rFonts w:hint="eastAsia" w:ascii="楷体" w:hAnsi="楷体" w:eastAsia="楷体" w:cs="楷体"/>
          <w:color w:val="000000"/>
          <w:kern w:val="0"/>
          <w:sz w:val="30"/>
          <w:szCs w:val="30"/>
          <w:lang w:val="en-US" w:eastAsia="zh-CN" w:bidi="ar"/>
        </w:rPr>
        <w:t>内</w:t>
      </w:r>
      <w:r>
        <w:rPr>
          <w:rFonts w:ascii="楷体" w:hAnsi="楷体" w:eastAsia="楷体" w:cs="楷体"/>
          <w:color w:val="000000"/>
          <w:kern w:val="0"/>
          <w:sz w:val="30"/>
          <w:szCs w:val="30"/>
          <w:lang w:val="en-US" w:eastAsia="zh-CN" w:bidi="ar"/>
        </w:rPr>
        <w:t>现行相关法律法规和标准情况</w:t>
      </w:r>
    </w:p>
    <w:p w14:paraId="27B10087">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近年来，政府已经出台了多项政策和规范来加强废塑料等再生资源的循环利用。2020年，我国国家发展改革委、生态环境部印发了《关于进一步加强塑料污染治理的意见》，明确提出“以可循环、可降解为导向，研发推广性能达标、绿色环保、经济适用的塑料制品及替代产品，培育有利于规范循环利用、减少塑料污染的新业态新模式”的原则，旨在推动塑料产业的绿色转型、循环再利用及降解塑料的应用，以减少环境污染。2021年，国务院出台《关于加快建立健全绿色低碳循环发展经济体系的指导意见》，明确提出加快构建废旧物资循环利用体系、加强废塑料等再生资源循环利用的目标。2021年7月，国家发展改革委发布了《“十四五”循环经济发展规划》，明确提出要全面提升资源利用效率，强化再生资源的利用，并致力于构建绿色低碳循环发展的经济体系，塑料污染的全链条治理和推进塑料废弃物的再利用和处置被特别强调为一项核心行动。2024年，中国共产党第二十届中央委员会第三次全体会议通过《中共中央关于进一步全面深化改革、推进中国式现代化的决定》，明确提出“聚焦建设美丽中国，加快经济社会发展全面绿色转型，健全生态环境治理体系，推进生态优先、节约集约、绿色低碳发展，促进人与自然和谐共生”的战略目标。</w:t>
      </w:r>
    </w:p>
    <w:p w14:paraId="34DBA2E8">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随着全球对塑料污染问题的重视和构建循环经济意识的提升，降解塑料作为应对塑料污染和资源可持续发展的关键解决方案，正受到前所未有的瞩目。传统降解塑料显著的崩解特性易引发微塑料污染，甚至会导致塑料循环系统瘫痪等问题，市场对此类产品的排斥情绪加剧，欧盟已实施限制措施。相比之下，微生物降解塑料优势显著。其使用的益生菌纯天然无公害，降解触发条件是有机环境，降解过程不会造成新的人为环境污染；具有稳定的物理性能，便于生产、储存和使用；其价格远低于传统降解塑料，且加工方式保持不变，有效节约了成本，更易获得社会的广泛接纳。</w:t>
      </w:r>
    </w:p>
    <w:p w14:paraId="5E223038">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微生物降解塑料作为未来降解塑料领域的重要发展方向，</w:t>
      </w:r>
      <w:r>
        <w:rPr>
          <w:rFonts w:hint="eastAsia" w:cs="宋体"/>
          <w:color w:val="auto"/>
          <w:kern w:val="2"/>
          <w:sz w:val="28"/>
          <w:szCs w:val="28"/>
          <w:lang w:val="en-US" w:eastAsia="zh-CN" w:bidi="ar-SA"/>
        </w:rPr>
        <w:t>该</w:t>
      </w:r>
      <w:r>
        <w:rPr>
          <w:rFonts w:hint="default" w:ascii="宋体" w:hAnsi="宋体" w:eastAsia="宋体" w:cs="宋体"/>
          <w:color w:val="auto"/>
          <w:kern w:val="2"/>
          <w:sz w:val="28"/>
          <w:szCs w:val="28"/>
          <w:lang w:val="en-US" w:eastAsia="zh-Hans" w:bidi="ar-SA"/>
        </w:rPr>
        <w:t>技术可以通过降解减少塑料垃圾对环境的污染，且经过常规的收集再利用，废弃的塑料制品可转化为有价值的资源，例如微生物降解塑料饭盒收集处理后可制成运输托盘等，从而实现资源的循环再利用。本标准专为微生物降解塑料而制定，利用微生物特性，以更短时间判断降解有效性，一方面提出了微生物降解塑料分类使用和循环再利用的基础构架，另一方面调和了降解与循环系统的矛盾，保障塑料制品安全，强化污染治理，促进塑料制品循环利用。</w:t>
      </w:r>
    </w:p>
    <w:p w14:paraId="65466402">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我国降解塑料产业的标准化进程自新世纪以来稳步前行，在国家市场监督管理总局、国家标准化管理委员会等部门积极主导下，生物降解塑料使用和循环再利用相关标准体系逐渐完善，具体如下：</w:t>
      </w:r>
    </w:p>
    <w:p w14:paraId="6A2E0993">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1）国家相关标准：</w:t>
      </w:r>
    </w:p>
    <w:p w14:paraId="455D852D">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2035-2024《塑料</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术语》</w:t>
      </w:r>
    </w:p>
    <w:p w14:paraId="72B1D59D">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16288-2024《塑料制品的标志》</w:t>
      </w:r>
    </w:p>
    <w:p w14:paraId="408454A7">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20197-2006《降解塑料的定义、分类、标识和降解性能要求》</w:t>
      </w:r>
    </w:p>
    <w:p w14:paraId="152DF27B">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22789.1-2023《塑料制品</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硬质聚氯乙烯板（片）材 第1部分：厚度1mm及以上板材的分类、尺寸和性能》</w:t>
      </w:r>
    </w:p>
    <w:p w14:paraId="25789050">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22789.2-2023《塑料制品</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 xml:space="preserve">硬质聚氯乙烯板（片）材 </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 xml:space="preserve">第2部分：厚度1mm以下片材的分类、尺寸和性能》 </w:t>
      </w:r>
    </w:p>
    <w:p w14:paraId="0CC9A941">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32163.2-2015《生态设计产品评价规范</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第2部分：可降解塑料》</w:t>
      </w:r>
    </w:p>
    <w:p w14:paraId="7E22888F">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38082-2019《生物降解塑料购物袋》</w:t>
      </w:r>
    </w:p>
    <w:p w14:paraId="186F178B">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 xml:space="preserve">GB/T </w:t>
      </w:r>
      <w:bookmarkStart w:id="10" w:name="_GoBack"/>
      <w:bookmarkEnd w:id="10"/>
      <w:r>
        <w:rPr>
          <w:rFonts w:hint="default" w:ascii="宋体" w:hAnsi="宋体" w:eastAsia="宋体" w:cs="宋体"/>
          <w:color w:val="auto"/>
          <w:kern w:val="2"/>
          <w:sz w:val="28"/>
          <w:szCs w:val="28"/>
          <w:lang w:val="en-US" w:eastAsia="zh-Hans" w:bidi="ar-SA"/>
        </w:rPr>
        <w:t>41010-2021《生物降解塑料与制品降解性能及标识要求》</w:t>
      </w:r>
    </w:p>
    <w:p w14:paraId="0BDCE87A">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41873-2022《塑料</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聚醚醚酮（PEEK）树脂》</w:t>
      </w:r>
    </w:p>
    <w:p w14:paraId="0F6178C1">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41874-2022《塑料</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聚苯醚（PPE）树脂》</w:t>
      </w:r>
    </w:p>
    <w:p w14:paraId="7A5FF915">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43085-2023《塑料</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聚合物分散体 游离甲醛含量的测定》</w:t>
      </w:r>
    </w:p>
    <w:p w14:paraId="5D3829C2">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GB/T 43086-2023《塑料</w:t>
      </w:r>
      <w:r>
        <w:rPr>
          <w:rFonts w:hint="eastAsia" w:cs="宋体"/>
          <w:color w:val="auto"/>
          <w:kern w:val="2"/>
          <w:sz w:val="28"/>
          <w:szCs w:val="28"/>
          <w:lang w:val="en-US" w:eastAsia="zh-CN" w:bidi="ar-SA"/>
        </w:rPr>
        <w:t xml:space="preserve"> </w:t>
      </w:r>
      <w:r>
        <w:rPr>
          <w:rFonts w:hint="default" w:ascii="宋体" w:hAnsi="宋体" w:eastAsia="宋体" w:cs="宋体"/>
          <w:color w:val="auto"/>
          <w:kern w:val="2"/>
          <w:sz w:val="28"/>
          <w:szCs w:val="28"/>
          <w:lang w:val="en-US" w:eastAsia="zh-Hans" w:bidi="ar-SA"/>
        </w:rPr>
        <w:t>聚合物分散体 筛余物的测定》</w:t>
      </w:r>
    </w:p>
    <w:p w14:paraId="1725B712">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2）行业相关标准：</w:t>
      </w:r>
    </w:p>
    <w:p w14:paraId="497C44CC">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CY/T 274—2024《绿色印刷 食品类塑料软包装印刷品生产过程控制要求》</w:t>
      </w:r>
    </w:p>
    <w:p w14:paraId="59F410E5">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CJ/T 280-2020《塑料垃圾桶通用技术条件》</w:t>
      </w:r>
    </w:p>
    <w:p w14:paraId="7993B33B">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HJ 364-2022《废塑料污染控制技术规范》</w:t>
      </w:r>
    </w:p>
    <w:p w14:paraId="5348A167">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QB/T 4049-2021《塑料饮水口杯》</w:t>
      </w:r>
    </w:p>
    <w:p w14:paraId="398A4404">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SN/T 5408-2022《再生塑料与改性塑料的鉴别方法》</w:t>
      </w:r>
    </w:p>
    <w:p w14:paraId="0199F47B">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QB/T 5815-2023《生物降解塑料保温盒》</w:t>
      </w:r>
    </w:p>
    <w:p w14:paraId="47802A55">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QB/T 5975-2024《塑料家具绿色工厂评价要求》</w:t>
      </w:r>
    </w:p>
    <w:p w14:paraId="3E1B4CEF">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NB/T 10474-2020《家用和类似用途插座用塑料件》</w:t>
      </w:r>
    </w:p>
    <w:p w14:paraId="126C97BA">
      <w:pPr>
        <w:pStyle w:val="2"/>
        <w:spacing w:line="360" w:lineRule="auto"/>
        <w:rPr>
          <w:rFonts w:hint="default"/>
          <w:lang w:val="en-US" w:eastAsia="zh-Hans"/>
        </w:rPr>
      </w:pPr>
      <w:r>
        <w:rPr>
          <w:rFonts w:hint="eastAsia" w:ascii="宋体" w:hAnsi="宋体" w:eastAsia="宋体" w:cs="宋体"/>
          <w:color w:val="auto"/>
          <w:kern w:val="2"/>
          <w:sz w:val="28"/>
          <w:szCs w:val="28"/>
          <w:lang w:val="en-US" w:eastAsia="zh-CN" w:bidi="ar-SA"/>
        </w:rPr>
        <w:t>国内外关于塑料使用、检测、产品性能和再利用的相关标准众多，但在微生物降解塑料制品的使用及循环再利用标准方面，目前尚属空白。</w:t>
      </w:r>
    </w:p>
    <w:p w14:paraId="10A6BA47">
      <w:pPr>
        <w:keepNext w:val="0"/>
        <w:keepLines w:val="0"/>
        <w:widowControl/>
        <w:numPr>
          <w:ilvl w:val="0"/>
          <w:numId w:val="4"/>
        </w:numPr>
        <w:suppressLineNumbers w:val="0"/>
        <w:ind w:left="0" w:leftChars="0" w:firstLine="420" w:firstLineChars="0"/>
        <w:jc w:val="left"/>
        <w:rPr>
          <w:rFonts w:ascii="楷体" w:hAnsi="楷体" w:eastAsia="楷体" w:cs="楷体"/>
          <w:color w:val="000000"/>
          <w:kern w:val="0"/>
          <w:sz w:val="30"/>
          <w:szCs w:val="30"/>
          <w:lang w:val="en-US" w:eastAsia="zh-CN" w:bidi="ar"/>
        </w:rPr>
      </w:pPr>
      <w:r>
        <w:rPr>
          <w:rFonts w:ascii="楷体" w:hAnsi="楷体" w:eastAsia="楷体" w:cs="楷体"/>
          <w:color w:val="000000"/>
          <w:kern w:val="0"/>
          <w:sz w:val="30"/>
          <w:szCs w:val="30"/>
          <w:lang w:val="en-US" w:eastAsia="zh-CN" w:bidi="ar"/>
        </w:rPr>
        <w:t>国外现行相关法律法规和标准情况</w:t>
      </w:r>
    </w:p>
    <w:p w14:paraId="48FF840B">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为应对塑料污染问题（全球每年塑料使用量超过3亿吨），欧盟委员会于2019年6月发布了Directive (EU) 2019/904指令，旨在限制一次性塑料制品，如棉签、餐具、盘子、吸管等的使用，传统氧化降解塑料产品也被限制。同时，构建循环经济和提升塑料废弃物再利用率被视为关键途径。欧洲塑料协会发布的报告显示，2022年欧洲有9%的塑料废弃物得到了有效再利用，这是一个显著的进步，表明欧洲的塑料废弃物再利用率首次超过了进入垃圾填埋场的塑料废弃物。此外，欧洲议会最近就减少、再利用包装的新规定达成了共识，以应对日益严重的塑料垃圾问题和推动循环经济的发展。</w:t>
      </w:r>
    </w:p>
    <w:p w14:paraId="3F4A13ED">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在降解塑</w:t>
      </w:r>
      <w:r>
        <w:rPr>
          <w:rFonts w:hint="eastAsia" w:ascii="宋体" w:hAnsi="宋体" w:eastAsia="宋体" w:cs="宋体"/>
          <w:color w:val="auto"/>
          <w:kern w:val="2"/>
          <w:sz w:val="28"/>
          <w:szCs w:val="28"/>
          <w:lang w:val="en-US" w:eastAsia="zh-Hans" w:bidi="ar-SA"/>
        </w:rPr>
        <w:t>料制品使用和循环再利用</w:t>
      </w:r>
      <w:r>
        <w:rPr>
          <w:rFonts w:hint="default" w:ascii="宋体" w:hAnsi="宋体" w:eastAsia="宋体" w:cs="宋体"/>
          <w:color w:val="auto"/>
          <w:kern w:val="2"/>
          <w:sz w:val="28"/>
          <w:szCs w:val="28"/>
          <w:lang w:val="en-US" w:eastAsia="zh-Hans" w:bidi="ar-SA"/>
        </w:rPr>
        <w:t>方面，</w:t>
      </w:r>
      <w:r>
        <w:rPr>
          <w:rFonts w:hint="eastAsia" w:ascii="宋体" w:hAnsi="宋体" w:eastAsia="宋体" w:cs="宋体"/>
          <w:color w:val="auto"/>
          <w:kern w:val="2"/>
          <w:sz w:val="28"/>
          <w:szCs w:val="28"/>
          <w:lang w:val="en-US" w:eastAsia="zh-Hans" w:bidi="ar-SA"/>
        </w:rPr>
        <w:t>随着</w:t>
      </w:r>
      <w:r>
        <w:rPr>
          <w:rFonts w:hint="default" w:ascii="宋体" w:hAnsi="宋体" w:eastAsia="宋体" w:cs="宋体"/>
          <w:color w:val="auto"/>
          <w:kern w:val="2"/>
          <w:sz w:val="28"/>
          <w:szCs w:val="28"/>
          <w:lang w:val="en-US" w:eastAsia="zh-Hans" w:bidi="ar-SA"/>
        </w:rPr>
        <w:t>降解塑料</w:t>
      </w:r>
      <w:r>
        <w:rPr>
          <w:rFonts w:hint="eastAsia" w:ascii="宋体" w:hAnsi="宋体" w:eastAsia="宋体" w:cs="宋体"/>
          <w:color w:val="auto"/>
          <w:kern w:val="2"/>
          <w:sz w:val="28"/>
          <w:szCs w:val="28"/>
          <w:lang w:val="en-US" w:eastAsia="zh-Hans" w:bidi="ar-SA"/>
        </w:rPr>
        <w:t>相关</w:t>
      </w:r>
      <w:r>
        <w:rPr>
          <w:rFonts w:hint="default" w:ascii="宋体" w:hAnsi="宋体" w:eastAsia="宋体" w:cs="宋体"/>
          <w:color w:val="auto"/>
          <w:kern w:val="2"/>
          <w:sz w:val="28"/>
          <w:szCs w:val="28"/>
          <w:lang w:val="en-US" w:eastAsia="zh-Hans" w:bidi="ar-SA"/>
        </w:rPr>
        <w:t>技术不断发展，各国和国际组织纷纷制定了相关标准来规范其生产、使用</w:t>
      </w:r>
      <w:r>
        <w:rPr>
          <w:rFonts w:hint="eastAsia" w:ascii="宋体" w:hAnsi="宋体" w:eastAsia="宋体" w:cs="宋体"/>
          <w:color w:val="auto"/>
          <w:kern w:val="2"/>
          <w:sz w:val="28"/>
          <w:szCs w:val="28"/>
          <w:lang w:val="en-US" w:eastAsia="zh-Hans" w:bidi="ar-SA"/>
        </w:rPr>
        <w:t>、检测和再利用</w:t>
      </w:r>
      <w:r>
        <w:rPr>
          <w:rFonts w:hint="default" w:ascii="宋体" w:hAnsi="宋体" w:eastAsia="宋体" w:cs="宋体"/>
          <w:color w:val="auto"/>
          <w:kern w:val="2"/>
          <w:sz w:val="28"/>
          <w:szCs w:val="28"/>
          <w:lang w:val="en-US" w:eastAsia="zh-Hans" w:bidi="ar-SA"/>
        </w:rPr>
        <w:t>。</w:t>
      </w:r>
    </w:p>
    <w:p w14:paraId="4CDD76E8">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default"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国际上，</w:t>
      </w:r>
      <w:r>
        <w:rPr>
          <w:rFonts w:hint="eastAsia" w:ascii="宋体" w:hAnsi="宋体" w:eastAsia="宋体" w:cs="宋体"/>
          <w:color w:val="auto"/>
          <w:kern w:val="2"/>
          <w:sz w:val="28"/>
          <w:szCs w:val="28"/>
          <w:lang w:val="en-US" w:eastAsia="zh-Hans" w:bidi="ar-SA"/>
        </w:rPr>
        <w:t>国际标准化组织（ISO）、</w:t>
      </w:r>
      <w:r>
        <w:rPr>
          <w:rFonts w:hint="default" w:ascii="宋体" w:hAnsi="宋体" w:eastAsia="宋体" w:cs="宋体"/>
          <w:color w:val="auto"/>
          <w:kern w:val="2"/>
          <w:sz w:val="28"/>
          <w:szCs w:val="28"/>
          <w:lang w:val="en-US" w:eastAsia="zh-Hans" w:bidi="ar-SA"/>
        </w:rPr>
        <w:t>欧洲标准化委员会（CEN）、美国试验与材料协会（ASTM）等机构制定了降解</w:t>
      </w:r>
      <w:r>
        <w:rPr>
          <w:rFonts w:hint="eastAsia" w:ascii="宋体" w:hAnsi="宋体" w:eastAsia="宋体" w:cs="宋体"/>
          <w:color w:val="auto"/>
          <w:kern w:val="2"/>
          <w:sz w:val="28"/>
          <w:szCs w:val="28"/>
          <w:lang w:val="en-US" w:eastAsia="zh-Hans" w:bidi="ar-SA"/>
        </w:rPr>
        <w:t>塑料使用和</w:t>
      </w:r>
      <w:r>
        <w:rPr>
          <w:rFonts w:hint="eastAsia" w:ascii="宋体" w:hAnsi="宋体" w:eastAsia="宋体" w:cs="宋体"/>
          <w:color w:val="auto"/>
          <w:kern w:val="2"/>
          <w:sz w:val="28"/>
          <w:szCs w:val="28"/>
          <w:lang w:val="en-US" w:eastAsia="zh-CN" w:bidi="ar-SA"/>
        </w:rPr>
        <w:t>循环</w:t>
      </w:r>
      <w:r>
        <w:rPr>
          <w:rFonts w:hint="eastAsia" w:ascii="宋体" w:hAnsi="宋体" w:eastAsia="宋体" w:cs="宋体"/>
          <w:color w:val="auto"/>
          <w:kern w:val="2"/>
          <w:sz w:val="28"/>
          <w:szCs w:val="28"/>
          <w:lang w:val="en-US" w:eastAsia="zh-Hans" w:bidi="ar-SA"/>
        </w:rPr>
        <w:t>再利用</w:t>
      </w:r>
      <w:r>
        <w:rPr>
          <w:rFonts w:hint="default" w:ascii="宋体" w:hAnsi="宋体" w:eastAsia="宋体" w:cs="宋体"/>
          <w:color w:val="auto"/>
          <w:kern w:val="2"/>
          <w:sz w:val="28"/>
          <w:szCs w:val="28"/>
          <w:lang w:val="en-US" w:eastAsia="zh-Hans" w:bidi="ar-SA"/>
        </w:rPr>
        <w:t>相关标准</w:t>
      </w:r>
      <w:r>
        <w:rPr>
          <w:rFonts w:hint="eastAsia" w:ascii="宋体" w:hAnsi="宋体" w:eastAsia="宋体" w:cs="宋体"/>
          <w:color w:val="auto"/>
          <w:kern w:val="2"/>
          <w:sz w:val="28"/>
          <w:szCs w:val="28"/>
          <w:lang w:val="en-US" w:eastAsia="zh-Hans" w:bidi="ar-SA"/>
        </w:rPr>
        <w:t>，具体如下：</w:t>
      </w:r>
    </w:p>
    <w:p w14:paraId="19273D62">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Hans" w:bidi="ar-SA"/>
        </w:rPr>
        <w:t>ISO 472-2013</w:t>
      </w:r>
      <w:r>
        <w:rPr>
          <w:rFonts w:hint="eastAsia" w:ascii="宋体" w:hAnsi="宋体" w:eastAsia="宋体" w:cs="宋体"/>
          <w:color w:val="auto"/>
          <w:kern w:val="2"/>
          <w:sz w:val="28"/>
          <w:szCs w:val="28"/>
          <w:lang w:val="en-US" w:eastAsia="zh-CN" w:bidi="ar-SA"/>
        </w:rPr>
        <w:t>《Plastics-Vocabulary》</w:t>
      </w:r>
    </w:p>
    <w:p w14:paraId="684FFA7D">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Hans" w:bidi="ar-SA"/>
        </w:rPr>
        <w:t>ISO 3915</w:t>
      </w:r>
      <w:r>
        <w:rPr>
          <w:rFonts w:hint="eastAsia" w:ascii="宋体" w:hAnsi="宋体" w:eastAsia="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Hans" w:bidi="ar-SA"/>
        </w:rPr>
        <w:t>2022</w:t>
      </w:r>
      <w:r>
        <w:rPr>
          <w:rFonts w:hint="eastAsia" w:ascii="宋体" w:hAnsi="宋体" w:eastAsia="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Hans" w:bidi="ar-SA"/>
        </w:rPr>
        <w:t>Plastics</w:t>
      </w:r>
      <w:r>
        <w:rPr>
          <w:rFonts w:hint="eastAsia" w:ascii="宋体" w:hAnsi="宋体" w:eastAsia="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Hans" w:bidi="ar-SA"/>
        </w:rPr>
        <w:t>Measurement of resistivity of conductive</w:t>
      </w:r>
      <w:r>
        <w:rPr>
          <w:rFonts w:hint="eastAsia" w:ascii="宋体" w:hAnsi="宋体" w:eastAsia="宋体" w:cs="宋体"/>
          <w:color w:val="auto"/>
          <w:kern w:val="2"/>
          <w:sz w:val="28"/>
          <w:szCs w:val="28"/>
          <w:lang w:val="en-US" w:eastAsia="zh-CN" w:bidi="ar-SA"/>
        </w:rPr>
        <w:t xml:space="preserve"> </w:t>
      </w:r>
      <w:r>
        <w:rPr>
          <w:rFonts w:hint="eastAsia" w:ascii="宋体" w:hAnsi="宋体" w:eastAsia="宋体" w:cs="宋体"/>
          <w:color w:val="auto"/>
          <w:kern w:val="2"/>
          <w:sz w:val="28"/>
          <w:szCs w:val="28"/>
          <w:lang w:val="en-US" w:eastAsia="zh-Hans" w:bidi="ar-SA"/>
        </w:rPr>
        <w:t>plastics</w:t>
      </w:r>
      <w:r>
        <w:rPr>
          <w:rFonts w:hint="eastAsia" w:ascii="宋体" w:hAnsi="宋体" w:eastAsia="宋体" w:cs="宋体"/>
          <w:color w:val="auto"/>
          <w:kern w:val="2"/>
          <w:sz w:val="28"/>
          <w:szCs w:val="28"/>
          <w:lang w:val="en-US" w:eastAsia="zh-CN" w:bidi="ar-SA"/>
        </w:rPr>
        <w:t>》</w:t>
      </w:r>
    </w:p>
    <w:p w14:paraId="4718143F">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ISO 11469-2016《Plastics-Generic identification and marking of plastics products》</w:t>
      </w:r>
    </w:p>
    <w:p w14:paraId="5A506621">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Hans" w:bidi="ar-SA"/>
        </w:rPr>
        <w:t>ISO 14021-2016</w:t>
      </w:r>
      <w:r>
        <w:rPr>
          <w:rFonts w:hint="eastAsia" w:ascii="宋体" w:hAnsi="宋体" w:eastAsia="宋体" w:cs="宋体"/>
          <w:color w:val="auto"/>
          <w:kern w:val="2"/>
          <w:sz w:val="28"/>
          <w:szCs w:val="28"/>
          <w:lang w:val="en-US" w:eastAsia="zh-CN" w:bidi="ar-SA"/>
        </w:rPr>
        <w:t>《Environmental labels and declarations-Self-declared environmental claims (Type II environmental labelling)》</w:t>
      </w:r>
    </w:p>
    <w:p w14:paraId="4AD6590A">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ISO 14855-1-2012《Determination of the ultimate aerobic biodegradability</w:t>
      </w:r>
      <w:r>
        <w:rPr>
          <w:rFonts w:hint="eastAsia" w:cs="宋体"/>
          <w:color w:val="auto"/>
          <w:kern w:val="2"/>
          <w:sz w:val="28"/>
          <w:szCs w:val="28"/>
          <w:lang w:val="en-US" w:eastAsia="zh-CN" w:bidi="ar-SA"/>
        </w:rPr>
        <w:t xml:space="preserve"> </w:t>
      </w:r>
      <w:r>
        <w:rPr>
          <w:rFonts w:hint="eastAsia" w:ascii="宋体" w:hAnsi="宋体" w:eastAsia="宋体" w:cs="宋体"/>
          <w:color w:val="auto"/>
          <w:kern w:val="2"/>
          <w:sz w:val="28"/>
          <w:szCs w:val="28"/>
          <w:lang w:val="en-US" w:eastAsia="zh-CN" w:bidi="ar-SA"/>
        </w:rPr>
        <w:t>of</w:t>
      </w:r>
      <w:r>
        <w:rPr>
          <w:rFonts w:hint="eastAsia" w:cs="宋体"/>
          <w:color w:val="auto"/>
          <w:kern w:val="2"/>
          <w:sz w:val="28"/>
          <w:szCs w:val="28"/>
          <w:lang w:val="en-US" w:eastAsia="zh-CN" w:bidi="ar-SA"/>
        </w:rPr>
        <w:t xml:space="preserve"> </w:t>
      </w:r>
      <w:r>
        <w:rPr>
          <w:rFonts w:hint="eastAsia" w:ascii="宋体" w:hAnsi="宋体" w:eastAsia="宋体" w:cs="宋体"/>
          <w:color w:val="auto"/>
          <w:kern w:val="2"/>
          <w:sz w:val="28"/>
          <w:szCs w:val="28"/>
          <w:lang w:val="en-US" w:eastAsia="zh-CN" w:bidi="ar-SA"/>
        </w:rPr>
        <w:t>plastic materials under controlled composting conditions-Method by analysis of evolved carbon dioxide-Part 1:General method》</w:t>
      </w:r>
    </w:p>
    <w:p w14:paraId="5B16B5B0">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EN</w:t>
      </w:r>
      <w:r>
        <w:rPr>
          <w:rFonts w:hint="eastAsia" w:ascii="宋体" w:hAnsi="宋体" w:eastAsia="宋体" w:cs="宋体"/>
          <w:color w:val="auto"/>
          <w:kern w:val="2"/>
          <w:sz w:val="28"/>
          <w:szCs w:val="28"/>
          <w:lang w:val="en-US" w:eastAsia="zh-Hans" w:bidi="ar-SA"/>
        </w:rPr>
        <w:t xml:space="preserve"> </w:t>
      </w:r>
      <w:r>
        <w:rPr>
          <w:rFonts w:hint="default" w:ascii="宋体" w:hAnsi="宋体" w:eastAsia="宋体" w:cs="宋体"/>
          <w:color w:val="auto"/>
          <w:kern w:val="2"/>
          <w:sz w:val="28"/>
          <w:szCs w:val="28"/>
          <w:lang w:val="en-US" w:eastAsia="zh-Hans" w:bidi="ar-SA"/>
        </w:rPr>
        <w:t>13432</w:t>
      </w:r>
      <w:r>
        <w:rPr>
          <w:rFonts w:hint="eastAsia" w:ascii="宋体" w:hAnsi="宋体" w:eastAsia="宋体" w:cs="宋体"/>
          <w:color w:val="auto"/>
          <w:kern w:val="2"/>
          <w:sz w:val="28"/>
          <w:szCs w:val="28"/>
          <w:lang w:val="en-US" w:eastAsia="zh-Hans" w:bidi="ar-SA"/>
        </w:rPr>
        <w:t>-2000《Packaging-Requirements for packaging recoverable through composting and biodegradation-Test scheme and evaluation criteria for the final acceptance of packaging》</w:t>
      </w:r>
    </w:p>
    <w:p w14:paraId="3C07F89A">
      <w:pPr>
        <w:pStyle w:val="2"/>
        <w:keepNext w:val="0"/>
        <w:keepLines w:val="0"/>
        <w:pageBreakBefore w:val="0"/>
        <w:widowControl/>
        <w:kinsoku/>
        <w:wordWrap/>
        <w:overflowPunct/>
        <w:topLinePunct w:val="0"/>
        <w:autoSpaceDE/>
        <w:autoSpaceDN/>
        <w:bidi w:val="0"/>
        <w:adjustRightInd/>
        <w:snapToGrid/>
        <w:spacing w:before="0" w:after="0" w:line="360" w:lineRule="auto"/>
        <w:textAlignment w:val="auto"/>
        <w:rPr>
          <w:rFonts w:hint="eastAsia" w:ascii="宋体" w:hAnsi="宋体" w:eastAsia="宋体" w:cs="宋体"/>
          <w:color w:val="auto"/>
          <w:kern w:val="2"/>
          <w:sz w:val="28"/>
          <w:szCs w:val="28"/>
          <w:lang w:val="en-US" w:eastAsia="zh-Hans" w:bidi="ar-SA"/>
        </w:rPr>
      </w:pPr>
      <w:r>
        <w:rPr>
          <w:rFonts w:hint="default" w:ascii="宋体" w:hAnsi="宋体" w:eastAsia="宋体" w:cs="宋体"/>
          <w:color w:val="auto"/>
          <w:kern w:val="2"/>
          <w:sz w:val="28"/>
          <w:szCs w:val="28"/>
          <w:lang w:val="en-US" w:eastAsia="zh-Hans" w:bidi="ar-SA"/>
        </w:rPr>
        <w:t>ASTM D6400</w:t>
      </w:r>
      <w:r>
        <w:rPr>
          <w:rFonts w:hint="eastAsia" w:ascii="宋体" w:hAnsi="宋体" w:eastAsia="宋体" w:cs="宋体"/>
          <w:color w:val="auto"/>
          <w:kern w:val="2"/>
          <w:sz w:val="28"/>
          <w:szCs w:val="28"/>
          <w:lang w:val="en-US" w:eastAsia="zh-Hans" w:bidi="ar-SA"/>
        </w:rPr>
        <w:t>-2023《Standard Specification for Labeling of Plastics Designed to be Aerobically Composted in Municipal or Industrial Facilities》</w:t>
      </w:r>
    </w:p>
    <w:p w14:paraId="0F4F36F5">
      <w:pPr>
        <w:keepNext w:val="0"/>
        <w:keepLines w:val="0"/>
        <w:widowControl/>
        <w:numPr>
          <w:ilvl w:val="0"/>
          <w:numId w:val="4"/>
        </w:numPr>
        <w:suppressLineNumbers w:val="0"/>
        <w:ind w:left="0" w:leftChars="0" w:firstLine="420" w:firstLineChars="0"/>
        <w:jc w:val="left"/>
        <w:rPr>
          <w:rFonts w:ascii="楷体" w:hAnsi="楷体" w:eastAsia="楷体" w:cs="楷体"/>
          <w:color w:val="000000"/>
          <w:kern w:val="0"/>
          <w:sz w:val="30"/>
          <w:szCs w:val="30"/>
          <w:lang w:val="en-US" w:eastAsia="zh-CN" w:bidi="ar"/>
        </w:rPr>
      </w:pPr>
      <w:r>
        <w:rPr>
          <w:rFonts w:ascii="楷体" w:hAnsi="楷体" w:eastAsia="楷体" w:cs="楷体"/>
          <w:color w:val="000000"/>
          <w:kern w:val="0"/>
          <w:sz w:val="30"/>
          <w:szCs w:val="30"/>
          <w:lang w:val="en-US" w:eastAsia="zh-CN" w:bidi="ar"/>
        </w:rPr>
        <w:t>制定标准的必要性和意义</w:t>
      </w:r>
    </w:p>
    <w:p w14:paraId="65DC7F18">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本标准的制定为企业和政府微生物降解塑料的应用和管理提供了指导，将填补现有微生物降解塑料制品使用和循环再利用的空白。本标准不仅有助于减少塑料垃圾对环境的破坏，提升其末端的安全再利用能力，还将推动塑料制品在生产、流通、使用、循环再利用全流程的管理，加速产业技术的迭代升级；本标准可为企业绿色转型升级提供指南，加强企业在国内国际市场中的竞争力和适应性，为企业在全球产业链中占据有利地位奠定坚实基础；本标准充分体现了“减量化、再利用、资源化”的循环经济原则，有助于解决塑料污染，优化资源配置，提升资源利用效率，进而推动塑料行业的绿色、循环和低碳发展，助力实现碳达峰碳中和目标。</w:t>
      </w:r>
    </w:p>
    <w:p w14:paraId="12FED1A8">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制定本标准的必要性：</w:t>
      </w:r>
    </w:p>
    <w:p w14:paraId="6D274622">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kern w:val="2"/>
          <w:sz w:val="28"/>
          <w:szCs w:val="28"/>
          <w:lang w:val="en-US" w:eastAsia="zh-CN" w:bidi="ar-SA"/>
        </w:rPr>
      </w:pPr>
      <w:r>
        <w:rPr>
          <w:rFonts w:hint="default" w:ascii="宋体" w:hAnsi="宋体" w:eastAsia="宋体" w:cs="宋体"/>
          <w:color w:val="auto"/>
          <w:kern w:val="2"/>
          <w:sz w:val="28"/>
          <w:szCs w:val="28"/>
          <w:lang w:val="en-US" w:eastAsia="zh-CN" w:bidi="ar-SA"/>
        </w:rPr>
        <w:t>（1）解决行业难点。传统降解塑料产品的崩解特性导致的微塑料污染和循环系统冲突问题已成为本市乃至全球环保领域的难点问题。本标准的制定将有效解决这些问题，推动微生物降解塑料产品的创新和市场推广，同时保障循环系统的稳定和高效运行。</w:t>
      </w:r>
    </w:p>
    <w:p w14:paraId="377B5F19">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kern w:val="2"/>
          <w:sz w:val="28"/>
          <w:szCs w:val="28"/>
          <w:lang w:val="en-US" w:eastAsia="zh-CN" w:bidi="ar-SA"/>
        </w:rPr>
      </w:pPr>
      <w:r>
        <w:rPr>
          <w:rFonts w:hint="default" w:ascii="宋体" w:hAnsi="宋体" w:eastAsia="宋体" w:cs="宋体"/>
          <w:color w:val="auto"/>
          <w:kern w:val="2"/>
          <w:sz w:val="28"/>
          <w:szCs w:val="28"/>
          <w:lang w:val="en-US" w:eastAsia="zh-CN" w:bidi="ar-SA"/>
        </w:rPr>
        <w:t>（2）助力产业升级。多国政府正积极推动绿色经济转型，出台了一系列鼓励生物降解材料研发与应用的政策措施。规范微生物降解塑料制品的使用和循环再利用，使废塑料得到循环利用，从而减少对环境的污染，是响应政策导向、加速产业技术迭代升级的关键一环。深圳地区作为改革开放的前沿阵地，更应走在前列，推动生物降解塑料行业的快速发展。</w:t>
      </w:r>
    </w:p>
    <w:p w14:paraId="0D70019A">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kern w:val="2"/>
          <w:sz w:val="28"/>
          <w:szCs w:val="28"/>
          <w:lang w:val="en-US" w:eastAsia="zh-CN" w:bidi="ar-SA"/>
        </w:rPr>
      </w:pPr>
      <w:r>
        <w:rPr>
          <w:rFonts w:hint="default" w:ascii="宋体" w:hAnsi="宋体" w:eastAsia="宋体" w:cs="宋体"/>
          <w:color w:val="auto"/>
          <w:kern w:val="2"/>
          <w:sz w:val="28"/>
          <w:szCs w:val="28"/>
          <w:lang w:val="en-US" w:eastAsia="zh-CN" w:bidi="ar-SA"/>
        </w:rPr>
        <w:t>（3）满足市场需求。全球绿色低碳发展已成为不可逆趋势，企业面临的降碳需求压力愈发迫切，微生物降解可以有效减少塑料垃圾的数量，降低填埋场的负荷，推动塑料污染治理、促进循环经济、实现</w:t>
      </w:r>
      <w:r>
        <w:rPr>
          <w:rFonts w:hint="eastAsia" w:ascii="宋体" w:hAnsi="宋体" w:eastAsia="宋体" w:cs="宋体"/>
          <w:color w:val="auto"/>
          <w:kern w:val="2"/>
          <w:sz w:val="28"/>
          <w:szCs w:val="28"/>
          <w:lang w:val="en-US" w:eastAsia="zh-CN" w:bidi="ar-SA"/>
        </w:rPr>
        <w:t>节约资源和保护环境</w:t>
      </w:r>
      <w:r>
        <w:rPr>
          <w:rFonts w:hint="default" w:ascii="宋体" w:hAnsi="宋体" w:eastAsia="宋体" w:cs="宋体"/>
          <w:color w:val="auto"/>
          <w:kern w:val="2"/>
          <w:sz w:val="28"/>
          <w:szCs w:val="28"/>
          <w:lang w:val="en-US" w:eastAsia="zh-CN" w:bidi="ar-SA"/>
        </w:rPr>
        <w:t>，满足市场需求。</w:t>
      </w:r>
    </w:p>
    <w:p w14:paraId="2FE79D98">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kern w:val="2"/>
          <w:sz w:val="28"/>
          <w:szCs w:val="28"/>
          <w:lang w:val="en-US" w:eastAsia="zh-CN" w:bidi="ar-SA"/>
        </w:rPr>
      </w:pPr>
      <w:r>
        <w:rPr>
          <w:rFonts w:hint="default" w:ascii="宋体" w:hAnsi="宋体" w:eastAsia="宋体" w:cs="宋体"/>
          <w:color w:val="auto"/>
          <w:kern w:val="2"/>
          <w:sz w:val="28"/>
          <w:szCs w:val="28"/>
          <w:lang w:val="en-US" w:eastAsia="zh-CN" w:bidi="ar-SA"/>
        </w:rPr>
        <w:t>（4）提升企业竞争力。工业制造业作为高排放领域的代表，也是绿色技术革新的前沿阵地。本标准的制定将为微生物降解塑料制品的使用和循环再利用提供指南，从而降低企业研发、生产、使用生物降解塑料制品成本，提升企业核心竞争力，亦是响应出海战略、积极拓展全球市场的必然选择。</w:t>
      </w:r>
    </w:p>
    <w:p w14:paraId="649F3027">
      <w:pPr>
        <w:pStyle w:val="3"/>
        <w:widowControl w:val="0"/>
        <w:spacing w:before="160" w:beforeLines="-2147483648" w:beforeAutospacing="0" w:after="160" w:afterLines="-2147483648" w:afterAutospacing="0" w:line="240" w:lineRule="auto"/>
        <w:ind w:left="0"/>
        <w:rPr>
          <w:rFonts w:hint="eastAsia" w:ascii="黑体" w:hAnsi="黑体" w:eastAsia="黑体" w:cs="黑体"/>
          <w:b/>
          <w:bCs/>
          <w:sz w:val="32"/>
          <w:szCs w:val="44"/>
          <w:lang w:val="en-US" w:eastAsia="zh-CN"/>
        </w:rPr>
      </w:pPr>
      <w:r>
        <w:rPr>
          <w:rFonts w:hint="eastAsia" w:ascii="黑体" w:hAnsi="黑体" w:eastAsia="黑体" w:cs="黑体"/>
          <w:b/>
          <w:bCs/>
          <w:sz w:val="32"/>
          <w:szCs w:val="44"/>
          <w:lang w:val="en-US" w:eastAsia="zh-CN"/>
        </w:rPr>
        <w:t>工作简况</w:t>
      </w:r>
    </w:p>
    <w:p w14:paraId="3C72B860">
      <w:pPr>
        <w:keepNext w:val="0"/>
        <w:keepLines w:val="0"/>
        <w:widowControl/>
        <w:numPr>
          <w:ilvl w:val="0"/>
          <w:numId w:val="5"/>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任务来源</w:t>
      </w:r>
    </w:p>
    <w:p w14:paraId="5117F23B">
      <w:pPr>
        <w:pageBreakBefore w:val="0"/>
        <w:widowControl w:val="0"/>
        <w:kinsoku/>
        <w:wordWrap/>
        <w:overflowPunct/>
        <w:topLinePunct w:val="0"/>
        <w:autoSpaceDE/>
        <w:autoSpaceDN/>
        <w:bidi w:val="0"/>
        <w:adjustRightInd/>
        <w:snapToGrid w:val="0"/>
        <w:spacing w:before="0" w:after="0"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深圳市地方标准《微生物降解塑料制品使用和循环再利用指南》由深圳市工业和信息化局提出并归口，是深圳市市场监督管理局下达的2025年深圳市地方标准计划项目任务，由深圳市中集新材科技发展有限公司主导制定。</w:t>
      </w:r>
    </w:p>
    <w:p w14:paraId="67A0C0D2">
      <w:pPr>
        <w:keepNext w:val="0"/>
        <w:keepLines w:val="0"/>
        <w:widowControl/>
        <w:numPr>
          <w:ilvl w:val="0"/>
          <w:numId w:val="5"/>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bookmarkStart w:id="0" w:name="_Toc21100"/>
      <w:r>
        <w:rPr>
          <w:rFonts w:hint="eastAsia" w:ascii="楷体" w:hAnsi="楷体" w:eastAsia="楷体" w:cs="楷体"/>
          <w:color w:val="000000"/>
          <w:kern w:val="0"/>
          <w:sz w:val="30"/>
          <w:szCs w:val="30"/>
          <w:lang w:val="en-US" w:eastAsia="zh-CN" w:bidi="ar"/>
        </w:rPr>
        <w:t>主要起草过程</w:t>
      </w:r>
      <w:bookmarkEnd w:id="0"/>
    </w:p>
    <w:p w14:paraId="5570A8B5">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1. 前期准备</w:t>
      </w:r>
    </w:p>
    <w:p w14:paraId="6DB58A76">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highlight w:val="none"/>
          <w:lang w:val="en-US" w:eastAsia="zh-CN"/>
        </w:rPr>
      </w:pPr>
      <w:r>
        <w:rPr>
          <w:rFonts w:hint="eastAsia" w:ascii="宋体" w:hAnsi="宋体" w:eastAsia="宋体" w:cs="宋体"/>
          <w:color w:val="auto"/>
          <w:kern w:val="2"/>
          <w:sz w:val="28"/>
          <w:szCs w:val="28"/>
          <w:highlight w:val="none"/>
          <w:lang w:val="en-US" w:eastAsia="zh-CN"/>
        </w:rPr>
        <w:t>开展微生物降解塑料制品行业相关调研，包括分类、使用和再利用等调研，查阅整理了大量微生物降解塑料制品有关的文献与资料，内容涉及产品标准、降解机理、循环技术、国际先进经验等多个维度；结合我国微生物降解塑料制品产业的发展现状，为标准的起草奠定了良好的基础。</w:t>
      </w:r>
    </w:p>
    <w:p w14:paraId="7FA4E75F">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highlight w:val="none"/>
          <w:lang w:val="en-US" w:eastAsia="zh-CN"/>
        </w:rPr>
      </w:pPr>
      <w:r>
        <w:rPr>
          <w:rFonts w:hint="eastAsia" w:ascii="宋体" w:hAnsi="宋体" w:eastAsia="宋体" w:cs="宋体"/>
          <w:color w:val="auto"/>
          <w:kern w:val="2"/>
          <w:sz w:val="28"/>
          <w:szCs w:val="28"/>
          <w:highlight w:val="none"/>
          <w:lang w:val="en-US" w:eastAsia="zh-CN"/>
        </w:rPr>
        <w:t>同时，本地方标准的立项过程严谨规范。标准编制组与深圳市工业和信息化局进行多次专题汇报会议，就标准制定对推动深圳绿色制造业发展、落实 “双碳”目标的重要意义进行了深入探讨；与深圳市新材料行业协会通过研讨会等形式，广泛征集行业内企业的意见与需求，确保标准内容贴合产业实际。在此基础上，组织了由材料科学、环境工程等领域的5名权威专家组成的论证小组，从行业发展需求、技术可行性、标准实施效果等方面对标准立项的必要性和可行性进行了全面论证。专家们一致认为，制定该地方标准能够填补深圳市在微生物降解塑料制品使用和循环再利用领域的标准空白，对规范行业发展、提升产业竞争力具有重要意义。</w:t>
      </w:r>
    </w:p>
    <w:p w14:paraId="44F7A792">
      <w:pPr>
        <w:keepNext w:val="0"/>
        <w:keepLines w:val="0"/>
        <w:pageBreakBefore w:val="0"/>
        <w:widowControl w:val="0"/>
        <w:numPr>
          <w:ilvl w:val="0"/>
          <w:numId w:val="6"/>
        </w:numPr>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标准立项</w:t>
      </w:r>
    </w:p>
    <w:p w14:paraId="27E31833">
      <w:pPr>
        <w:keepNext w:val="0"/>
        <w:keepLines w:val="0"/>
        <w:pageBreakBefore w:val="0"/>
        <w:widowControl w:val="0"/>
        <w:numPr>
          <w:ilvl w:val="-1"/>
          <w:numId w:val="0"/>
        </w:numPr>
        <w:kinsoku/>
        <w:wordWrap/>
        <w:overflowPunct/>
        <w:topLinePunct w:val="0"/>
        <w:autoSpaceDE/>
        <w:autoSpaceDN/>
        <w:bidi w:val="0"/>
        <w:adjustRightInd w:val="0"/>
        <w:snapToGrid w:val="0"/>
        <w:spacing w:before="0" w:after="0" w:line="360" w:lineRule="auto"/>
        <w:ind w:left="0" w:leftChars="0"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2025年1月，根据深圳市市场监督管理局《关于开展2025年地方标准制修订计划项目和标准体系建设指南征集工作的通知》，深圳市中集新材科技发展有限公司组织人员开展标准立项申报，4月2日，根据《深圳市市场监督管理局关于下达2025年深圳市地方标准计划项目任务的通知》《微生物降解塑料制品使用和循环再利用指南》正式立项。</w:t>
      </w:r>
    </w:p>
    <w:p w14:paraId="2F00B2AA">
      <w:pPr>
        <w:keepNext w:val="0"/>
        <w:keepLines w:val="0"/>
        <w:pageBreakBefore w:val="0"/>
        <w:widowControl w:val="0"/>
        <w:numPr>
          <w:ilvl w:val="0"/>
          <w:numId w:val="6"/>
        </w:numPr>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标准草案编制</w:t>
      </w:r>
    </w:p>
    <w:p w14:paraId="5E62B72C">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2025年4月，项目立项后，主导编制单位深圳市中集新材科技发展有限公司成立了标准编制组，标准编制组制定了计划任务书，开始标准的正式研制工作。</w:t>
      </w:r>
    </w:p>
    <w:p w14:paraId="32C451C9">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2025年5月，《微生物降解塑料制品使用和循环再利用指南》标准编制组在经过国内外研究，以及行业调研，确立了标准内容框架，并草拟形成了《微生物降解塑料制品使用和循环再利用指南》标准草案，并在编制内部讨论下不断对草案稿进行完善修改。</w:t>
      </w:r>
    </w:p>
    <w:p w14:paraId="13984F1B">
      <w:pPr>
        <w:keepNext w:val="0"/>
        <w:keepLines w:val="0"/>
        <w:pageBreakBefore w:val="0"/>
        <w:widowControl w:val="0"/>
        <w:numPr>
          <w:ilvl w:val="0"/>
          <w:numId w:val="6"/>
        </w:numPr>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形成征求意见稿</w:t>
      </w:r>
    </w:p>
    <w:p w14:paraId="66B10337">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2025年6月，标准编制组就《微生物降解塑料制品使用和循环再利用指南》草案，多次召开专题讨论会，论证确定标准的关键要素等各项内容。2025年6月19日下午，深圳市中集新材科技发展有限公司召开《微生物降解塑料制品使用和循环再利用指南》深圳市地方标准专家研讨会，来自深圳大学生命与海洋科学院、深圳市计量质量检测研究院、深圳技术大学、深圳华大法医科技有限公司等科研院所及企业专家参会，</w:t>
      </w:r>
      <w:r>
        <w:rPr>
          <w:rFonts w:hint="eastAsia" w:ascii="宋体" w:hAnsi="宋体" w:eastAsia="宋体" w:cs="宋体"/>
          <w:color w:val="auto"/>
          <w:sz w:val="28"/>
          <w:szCs w:val="28"/>
          <w:lang w:val="en-US" w:eastAsia="zh-Hans"/>
        </w:rPr>
        <w:t>对标准文本</w:t>
      </w:r>
      <w:r>
        <w:rPr>
          <w:rFonts w:hint="eastAsia" w:ascii="宋体" w:hAnsi="宋体" w:eastAsia="宋体" w:cs="宋体"/>
          <w:color w:val="auto"/>
          <w:sz w:val="28"/>
          <w:szCs w:val="28"/>
          <w:lang w:val="en-US" w:eastAsia="zh-CN"/>
        </w:rPr>
        <w:t>仔细逐条进行了</w:t>
      </w:r>
      <w:r>
        <w:rPr>
          <w:rFonts w:hint="eastAsia" w:ascii="宋体" w:hAnsi="宋体" w:eastAsia="宋体" w:cs="宋体"/>
          <w:color w:val="auto"/>
          <w:sz w:val="28"/>
          <w:szCs w:val="28"/>
          <w:lang w:val="en-US" w:eastAsia="zh-Hans"/>
        </w:rPr>
        <w:t>研讨</w:t>
      </w:r>
      <w:r>
        <w:rPr>
          <w:rFonts w:hint="eastAsia" w:ascii="宋体" w:hAnsi="宋体" w:eastAsia="宋体" w:cs="宋体"/>
          <w:color w:val="auto"/>
          <w:sz w:val="28"/>
          <w:szCs w:val="28"/>
          <w:lang w:val="en-US" w:eastAsia="zh-CN"/>
        </w:rPr>
        <w:t>。</w:t>
      </w:r>
      <w:r>
        <w:rPr>
          <w:rFonts w:hint="eastAsia" w:ascii="宋体" w:hAnsi="宋体" w:eastAsia="宋体" w:cs="宋体"/>
          <w:color w:val="auto"/>
          <w:kern w:val="2"/>
          <w:sz w:val="28"/>
          <w:szCs w:val="28"/>
          <w:lang w:val="en-US" w:eastAsia="zh-CN"/>
        </w:rPr>
        <w:t>标准编制组依据各方意见进行修改，持续对标准文本进行多次修改，于2025年6月底形成标准征求意见稿。</w:t>
      </w:r>
    </w:p>
    <w:p w14:paraId="650BC513">
      <w:pPr>
        <w:pStyle w:val="3"/>
        <w:widowControl w:val="0"/>
        <w:spacing w:before="160" w:beforeLines="-2147483648" w:beforeAutospacing="0" w:after="160" w:afterLines="-2147483648" w:afterAutospacing="0" w:line="240" w:lineRule="auto"/>
        <w:ind w:left="0"/>
        <w:rPr>
          <w:rFonts w:hint="eastAsia" w:ascii="黑体" w:hAnsi="黑体" w:eastAsia="黑体" w:cs="黑体"/>
          <w:b/>
          <w:bCs/>
          <w:sz w:val="32"/>
          <w:szCs w:val="44"/>
          <w:lang w:val="en-US" w:eastAsia="zh-CN"/>
        </w:rPr>
      </w:pPr>
      <w:r>
        <w:rPr>
          <w:rFonts w:hint="eastAsia" w:ascii="黑体" w:hAnsi="黑体" w:eastAsia="黑体" w:cs="黑体"/>
          <w:b/>
          <w:bCs/>
          <w:sz w:val="32"/>
          <w:szCs w:val="44"/>
          <w:lang w:val="en-US" w:eastAsia="zh-CN"/>
        </w:rPr>
        <w:t>地方标准主要内容的依据以及与国内领先、国际先进标准的对标情况</w:t>
      </w:r>
    </w:p>
    <w:p w14:paraId="032CEF78">
      <w:pPr>
        <w:keepNext w:val="0"/>
        <w:keepLines w:val="0"/>
        <w:widowControl/>
        <w:numPr>
          <w:ilvl w:val="0"/>
          <w:numId w:val="7"/>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制定原则</w:t>
      </w:r>
    </w:p>
    <w:p w14:paraId="5C5B4ED5">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1. 科学性原则</w:t>
      </w:r>
    </w:p>
    <w:p w14:paraId="49F294F2">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通过深入研究国家及微生物降解塑料制品使用和循环再利用的相关标准以及政策法规等相关文件，遵循科学性的标准编制的要求，对标准的内容进行了科学设置和合理分析，确保本标准科学合理。</w:t>
      </w:r>
    </w:p>
    <w:p w14:paraId="15918A4E">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2. 先进性原则</w:t>
      </w:r>
    </w:p>
    <w:p w14:paraId="1572AF0A">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在标准制修订过程中，标准编制组将综合采用资料调研、问卷调研、广泛征求意见、专家评审等多种研究方法，汇总来自相关领域的专家观点，从而形成更专业更规范更具指导意义的标准文本。</w:t>
      </w:r>
    </w:p>
    <w:p w14:paraId="70A637ED">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3. 可行性原则</w:t>
      </w:r>
    </w:p>
    <w:p w14:paraId="3AD8C27F">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标准编制组对微生物降解塑料制品使用和循环再利用进行深入的调查和研究，包括微生物降解塑料制品的定义、分类、再利用的条件及方式等，为本标准的制定提供清晰明确的指导原则和操作规程。</w:t>
      </w:r>
    </w:p>
    <w:p w14:paraId="6E8AF43D">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4. 规范性原则</w:t>
      </w:r>
    </w:p>
    <w:p w14:paraId="4425831B">
      <w:pPr>
        <w:widowControl w:val="0"/>
        <w:adjustRightInd w:val="0"/>
        <w:snapToGrid w:val="0"/>
        <w:spacing w:before="0" w:after="0" w:line="360" w:lineRule="auto"/>
        <w:ind w:firstLine="560" w:firstLineChars="200"/>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本文件依据《标准化工作导则  第1部分：标准化文件的结构和起草规则》（GB/T 1.1-2020）的要求进行编制，并参照了国内相关标准的编写习惯，保证了规范性。</w:t>
      </w:r>
    </w:p>
    <w:p w14:paraId="0306066B">
      <w:pPr>
        <w:keepNext w:val="0"/>
        <w:keepLines w:val="0"/>
        <w:widowControl/>
        <w:numPr>
          <w:ilvl w:val="0"/>
          <w:numId w:val="7"/>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制定依据</w:t>
      </w:r>
    </w:p>
    <w:p w14:paraId="1E03A636">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本文件严格按照《标准化工作导则  第1部分：标准化文件的结构和起草规则》（GB/T 1.1－2020）的要求进行编写。</w:t>
      </w:r>
    </w:p>
    <w:p w14:paraId="0979F1DC">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本文件第3章术语和定义参照了GB/T 32163.2—2015《生态设计产品评价规范  第2部分：可降解塑料》、GB/T 20197—2006《降解塑料的定义、分类、标识和降解性能要求》、GB/T 30102—2024《塑料废弃物的回收和再利用指南》中的术语定义。</w:t>
      </w:r>
    </w:p>
    <w:p w14:paraId="58CFEF39">
      <w:pPr>
        <w:pStyle w:val="2"/>
        <w:keepNext w:val="0"/>
        <w:keepLines w:val="0"/>
        <w:pageBreakBefore w:val="0"/>
        <w:widowControl/>
        <w:kinsoku/>
        <w:wordWrap/>
        <w:overflowPunct/>
        <w:topLinePunct w:val="0"/>
        <w:autoSpaceDE/>
        <w:autoSpaceDN/>
        <w:bidi w:val="0"/>
        <w:adjustRightInd/>
        <w:snapToGrid w:val="0"/>
        <w:spacing w:before="0" w:after="0" w:line="360" w:lineRule="auto"/>
        <w:textAlignment w:val="auto"/>
        <w:rPr>
          <w:rFonts w:hint="eastAsia" w:cs="宋体"/>
          <w:color w:val="auto"/>
          <w:kern w:val="2"/>
          <w:sz w:val="28"/>
          <w:szCs w:val="28"/>
          <w:lang w:val="en-US" w:eastAsia="zh-CN"/>
        </w:rPr>
      </w:pPr>
      <w:r>
        <w:rPr>
          <w:rFonts w:hint="eastAsia" w:ascii="宋体" w:hAnsi="宋体" w:eastAsia="宋体" w:cs="宋体"/>
          <w:color w:val="auto"/>
          <w:kern w:val="2"/>
          <w:sz w:val="28"/>
          <w:szCs w:val="28"/>
          <w:lang w:val="en-US" w:eastAsia="zh-CN"/>
        </w:rPr>
        <w:t>本文件第</w:t>
      </w:r>
      <w:r>
        <w:rPr>
          <w:rFonts w:hint="eastAsia" w:cs="宋体"/>
          <w:color w:val="auto"/>
          <w:kern w:val="2"/>
          <w:sz w:val="28"/>
          <w:szCs w:val="28"/>
          <w:lang w:val="en-US" w:eastAsia="zh-CN"/>
        </w:rPr>
        <w:t>4</w:t>
      </w:r>
      <w:r>
        <w:rPr>
          <w:rFonts w:hint="eastAsia" w:ascii="宋体" w:hAnsi="宋体" w:eastAsia="宋体" w:cs="宋体"/>
          <w:color w:val="auto"/>
          <w:kern w:val="2"/>
          <w:sz w:val="28"/>
          <w:szCs w:val="28"/>
          <w:lang w:val="en-US" w:eastAsia="zh-CN"/>
        </w:rPr>
        <w:t>章</w:t>
      </w:r>
      <w:r>
        <w:rPr>
          <w:rFonts w:hint="eastAsia" w:cs="宋体"/>
          <w:color w:val="auto"/>
          <w:kern w:val="2"/>
          <w:sz w:val="28"/>
          <w:szCs w:val="28"/>
          <w:lang w:val="en-US" w:eastAsia="zh-CN"/>
        </w:rPr>
        <w:t>概要</w:t>
      </w:r>
      <w:r>
        <w:rPr>
          <w:rFonts w:hint="eastAsia" w:ascii="宋体" w:hAnsi="宋体" w:eastAsia="宋体" w:cs="宋体"/>
          <w:color w:val="auto"/>
          <w:kern w:val="2"/>
          <w:sz w:val="28"/>
          <w:szCs w:val="28"/>
          <w:lang w:val="en-US" w:eastAsia="zh-CN"/>
        </w:rPr>
        <w:t>参照了HJ 364</w:t>
      </w:r>
      <w:r>
        <w:rPr>
          <w:rFonts w:hint="eastAsia" w:cs="宋体"/>
          <w:color w:val="auto"/>
          <w:kern w:val="2"/>
          <w:sz w:val="28"/>
          <w:szCs w:val="28"/>
          <w:lang w:val="en-US" w:eastAsia="zh-CN"/>
        </w:rPr>
        <w:t>《</w:t>
      </w:r>
      <w:r>
        <w:rPr>
          <w:rFonts w:hint="eastAsia" w:ascii="宋体" w:hAnsi="宋体" w:eastAsia="宋体" w:cs="宋体"/>
          <w:color w:val="auto"/>
          <w:kern w:val="2"/>
          <w:sz w:val="28"/>
          <w:szCs w:val="28"/>
          <w:lang w:val="en-US" w:eastAsia="zh-CN"/>
        </w:rPr>
        <w:t>废塑料污染控制技术规范</w:t>
      </w:r>
      <w:r>
        <w:rPr>
          <w:rFonts w:hint="eastAsia" w:cs="宋体"/>
          <w:color w:val="auto"/>
          <w:kern w:val="2"/>
          <w:sz w:val="28"/>
          <w:szCs w:val="28"/>
          <w:lang w:val="en-US" w:eastAsia="zh-CN"/>
        </w:rPr>
        <w:t>》中对废塑料制品提出的总体要求，包括塑料制品的绿色设计、再利用顺序、环境保护措施及废塑料管理台账等要求，同时依据深圳市实际情况而编制。</w:t>
      </w:r>
    </w:p>
    <w:p w14:paraId="700A9702">
      <w:pPr>
        <w:pStyle w:val="2"/>
        <w:keepNext w:val="0"/>
        <w:keepLines w:val="0"/>
        <w:pageBreakBefore w:val="0"/>
        <w:widowControl/>
        <w:kinsoku/>
        <w:wordWrap/>
        <w:overflowPunct/>
        <w:topLinePunct w:val="0"/>
        <w:autoSpaceDE/>
        <w:autoSpaceDN/>
        <w:bidi w:val="0"/>
        <w:adjustRightInd/>
        <w:snapToGrid w:val="0"/>
        <w:spacing w:before="0" w:after="0" w:line="360" w:lineRule="auto"/>
        <w:textAlignment w:val="auto"/>
        <w:rPr>
          <w:rFonts w:hint="eastAsia" w:ascii="宋体" w:hAnsi="宋体" w:eastAsia="宋体" w:cs="宋体"/>
          <w:color w:val="auto"/>
          <w:kern w:val="2"/>
          <w:sz w:val="28"/>
          <w:szCs w:val="28"/>
          <w:lang w:val="en-US" w:eastAsia="zh-CN"/>
        </w:rPr>
      </w:pPr>
      <w:r>
        <w:rPr>
          <w:rFonts w:hint="eastAsia" w:ascii="宋体" w:hAnsi="宋体" w:eastAsia="宋体" w:cs="宋体"/>
          <w:color w:val="auto"/>
          <w:kern w:val="2"/>
          <w:sz w:val="28"/>
          <w:szCs w:val="28"/>
          <w:lang w:val="en-US" w:eastAsia="zh-CN"/>
        </w:rPr>
        <w:t>本文件第</w:t>
      </w:r>
      <w:r>
        <w:rPr>
          <w:rFonts w:hint="eastAsia" w:cs="宋体"/>
          <w:color w:val="auto"/>
          <w:kern w:val="2"/>
          <w:sz w:val="28"/>
          <w:szCs w:val="28"/>
          <w:lang w:val="en-US" w:eastAsia="zh-CN"/>
        </w:rPr>
        <w:t>5</w:t>
      </w:r>
      <w:r>
        <w:rPr>
          <w:rFonts w:hint="eastAsia" w:ascii="宋体" w:hAnsi="宋体" w:eastAsia="宋体" w:cs="宋体"/>
          <w:color w:val="auto"/>
          <w:kern w:val="2"/>
          <w:sz w:val="28"/>
          <w:szCs w:val="28"/>
          <w:lang w:val="en-US" w:eastAsia="zh-CN"/>
        </w:rPr>
        <w:t>章</w:t>
      </w:r>
      <w:r>
        <w:rPr>
          <w:rFonts w:hint="eastAsia" w:cs="宋体"/>
          <w:color w:val="auto"/>
          <w:kern w:val="2"/>
          <w:sz w:val="28"/>
          <w:szCs w:val="28"/>
          <w:lang w:val="en-US" w:eastAsia="zh-CN"/>
        </w:rPr>
        <w:t>分类及使用参照了中华人民共和国商务部发布的2020年第61号文件《商务领域一次性塑料制品使用、回收报告办法（试行）》，办法中第十条对一次性塑料制品进行了明确规定：本办法所称一次性塑料制品，包括不可降解塑料购物袋、连卷袋、塑料包装袋（含编织袋），不可降解一次性塑料餐盒、塑料餐具</w:t>
      </w:r>
      <w:r>
        <w:rPr>
          <w:rFonts w:hint="eastAsia" w:ascii="宋体" w:hAnsi="宋体" w:eastAsia="宋体" w:cs="宋体"/>
          <w:color w:val="auto"/>
          <w:kern w:val="2"/>
          <w:sz w:val="28"/>
          <w:szCs w:val="28"/>
          <w:lang w:val="en-US" w:eastAsia="zh-CN"/>
        </w:rPr>
        <w:t>（刀、叉、勺）、塑料吸管。</w:t>
      </w:r>
    </w:p>
    <w:p w14:paraId="4C5ACC12">
      <w:pPr>
        <w:pStyle w:val="2"/>
        <w:keepNext w:val="0"/>
        <w:keepLines w:val="0"/>
        <w:pageBreakBefore w:val="0"/>
        <w:widowControl/>
        <w:kinsoku/>
        <w:wordWrap/>
        <w:overflowPunct/>
        <w:topLinePunct w:val="0"/>
        <w:autoSpaceDE/>
        <w:autoSpaceDN/>
        <w:bidi w:val="0"/>
        <w:adjustRightInd/>
        <w:snapToGrid w:val="0"/>
        <w:spacing w:before="0" w:after="0" w:line="360" w:lineRule="auto"/>
        <w:textAlignment w:val="auto"/>
        <w:rPr>
          <w:rFonts w:hint="eastAsia" w:cs="宋体"/>
          <w:color w:val="auto"/>
          <w:kern w:val="2"/>
          <w:sz w:val="28"/>
          <w:szCs w:val="28"/>
          <w:lang w:val="en-US" w:eastAsia="zh-CN"/>
        </w:rPr>
      </w:pPr>
      <w:r>
        <w:rPr>
          <w:rFonts w:hint="default" w:ascii="宋体" w:hAnsi="宋体" w:eastAsia="宋体" w:cs="宋体"/>
          <w:color w:val="auto"/>
          <w:kern w:val="2"/>
          <w:sz w:val="28"/>
          <w:szCs w:val="28"/>
          <w:lang w:val="en-US" w:eastAsia="zh-CN"/>
        </w:rPr>
        <w:t>本文件第</w:t>
      </w:r>
      <w:r>
        <w:rPr>
          <w:rFonts w:hint="eastAsia" w:cs="宋体"/>
          <w:color w:val="auto"/>
          <w:kern w:val="2"/>
          <w:sz w:val="28"/>
          <w:szCs w:val="28"/>
          <w:lang w:val="en-US" w:eastAsia="zh-CN"/>
        </w:rPr>
        <w:t>6</w:t>
      </w:r>
      <w:r>
        <w:rPr>
          <w:rFonts w:hint="default" w:ascii="宋体" w:hAnsi="宋体" w:eastAsia="宋体" w:cs="宋体"/>
          <w:color w:val="auto"/>
          <w:kern w:val="2"/>
          <w:sz w:val="28"/>
          <w:szCs w:val="28"/>
          <w:lang w:val="en-US" w:eastAsia="zh-CN"/>
        </w:rPr>
        <w:t>章</w:t>
      </w:r>
      <w:r>
        <w:rPr>
          <w:rFonts w:hint="eastAsia" w:ascii="宋体" w:hAnsi="宋体" w:eastAsia="宋体" w:cs="宋体"/>
          <w:color w:val="auto"/>
          <w:kern w:val="2"/>
          <w:sz w:val="28"/>
          <w:szCs w:val="28"/>
          <w:lang w:val="en-US" w:eastAsia="zh-CN"/>
        </w:rPr>
        <w:t>再利用参照了HJ 364《废塑料污染控制技术规范》中收集和运输污染控制要求、预处理污染控制要求、再生利用和处置污染控制要求，GB/T 37821《废塑料再生利用技术规范》中</w:t>
      </w:r>
      <w:r>
        <w:rPr>
          <w:rFonts w:hint="eastAsia" w:cs="宋体"/>
          <w:color w:val="auto"/>
          <w:kern w:val="2"/>
          <w:sz w:val="28"/>
          <w:szCs w:val="28"/>
          <w:lang w:val="en-US" w:eastAsia="zh-CN"/>
        </w:rPr>
        <w:t>破碎要求、清洗要求、干燥要求、造粒和改性要求等内容，同时依据深圳市实际情况而编制。</w:t>
      </w:r>
    </w:p>
    <w:p w14:paraId="5590DEBF">
      <w:pPr>
        <w:pStyle w:val="2"/>
        <w:keepNext w:val="0"/>
        <w:keepLines w:val="0"/>
        <w:pageBreakBefore w:val="0"/>
        <w:widowControl/>
        <w:kinsoku/>
        <w:wordWrap/>
        <w:overflowPunct/>
        <w:topLinePunct w:val="0"/>
        <w:autoSpaceDE/>
        <w:autoSpaceDN/>
        <w:bidi w:val="0"/>
        <w:adjustRightInd/>
        <w:snapToGrid w:val="0"/>
        <w:spacing w:before="0" w:after="0" w:line="360" w:lineRule="auto"/>
        <w:textAlignment w:val="auto"/>
        <w:rPr>
          <w:rFonts w:hint="default" w:ascii="宋体" w:hAnsi="宋体" w:eastAsia="宋体" w:cs="宋体"/>
          <w:color w:val="auto"/>
          <w:kern w:val="2"/>
          <w:sz w:val="28"/>
          <w:szCs w:val="28"/>
          <w:lang w:val="en-US" w:eastAsia="zh-CN"/>
        </w:rPr>
      </w:pPr>
      <w:r>
        <w:rPr>
          <w:rFonts w:hint="default" w:ascii="宋体" w:hAnsi="宋体" w:eastAsia="宋体" w:cs="宋体"/>
          <w:color w:val="auto"/>
          <w:kern w:val="2"/>
          <w:sz w:val="28"/>
          <w:szCs w:val="28"/>
          <w:lang w:val="en-US" w:eastAsia="zh-CN"/>
        </w:rPr>
        <w:t>本文件第</w:t>
      </w:r>
      <w:r>
        <w:rPr>
          <w:rFonts w:hint="eastAsia" w:cs="宋体"/>
          <w:color w:val="auto"/>
          <w:kern w:val="2"/>
          <w:sz w:val="28"/>
          <w:szCs w:val="28"/>
          <w:lang w:val="en-US" w:eastAsia="zh-CN"/>
        </w:rPr>
        <w:t>7</w:t>
      </w:r>
      <w:r>
        <w:rPr>
          <w:rFonts w:hint="default" w:ascii="宋体" w:hAnsi="宋体" w:eastAsia="宋体" w:cs="宋体"/>
          <w:color w:val="auto"/>
          <w:kern w:val="2"/>
          <w:sz w:val="28"/>
          <w:szCs w:val="28"/>
          <w:lang w:val="en-US" w:eastAsia="zh-CN"/>
        </w:rPr>
        <w:t>章</w:t>
      </w:r>
      <w:r>
        <w:rPr>
          <w:rFonts w:hint="eastAsia" w:cs="宋体"/>
          <w:color w:val="auto"/>
          <w:kern w:val="2"/>
          <w:sz w:val="28"/>
          <w:szCs w:val="28"/>
          <w:lang w:val="en-US" w:eastAsia="zh-CN"/>
        </w:rPr>
        <w:t>环境保护要求参照了</w:t>
      </w:r>
      <w:r>
        <w:rPr>
          <w:rFonts w:hint="eastAsia" w:ascii="宋体" w:hAnsi="宋体" w:eastAsia="宋体" w:cs="宋体"/>
          <w:color w:val="auto"/>
          <w:kern w:val="2"/>
          <w:sz w:val="28"/>
          <w:szCs w:val="28"/>
          <w:lang w:val="en-US" w:eastAsia="zh-CN"/>
        </w:rPr>
        <w:t>GB/T 37821《废塑料再生利用技术规范》中</w:t>
      </w:r>
      <w:r>
        <w:rPr>
          <w:rFonts w:hint="eastAsia" w:cs="宋体"/>
          <w:color w:val="auto"/>
          <w:kern w:val="2"/>
          <w:sz w:val="28"/>
          <w:szCs w:val="28"/>
          <w:lang w:val="en-US" w:eastAsia="zh-CN"/>
        </w:rPr>
        <w:t>环境保护要求，同时依据深圳市实际情况而编制。</w:t>
      </w:r>
    </w:p>
    <w:p w14:paraId="5FC47703">
      <w:pPr>
        <w:keepNext w:val="0"/>
        <w:keepLines w:val="0"/>
        <w:widowControl/>
        <w:numPr>
          <w:ilvl w:val="0"/>
          <w:numId w:val="7"/>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与国内外先进标准的对标情况</w:t>
      </w:r>
    </w:p>
    <w:p w14:paraId="15D224F0">
      <w:pPr>
        <w:pStyle w:val="2"/>
        <w:spacing w:line="360" w:lineRule="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在循环再利用方面，欧盟EN 1343-2000《Packaging-Requirements for packaging recoverable through composting and biodegradation-Test scheme and evaluation criteria for the final acceptance of packaging》对可通过堆肥和生物降解回收的包装提出要求</w:t>
      </w:r>
      <w:r>
        <w:rPr>
          <w:rFonts w:hint="eastAsia"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我国HJ 364</w:t>
      </w:r>
      <w:r>
        <w:rPr>
          <w:rFonts w:hint="eastAsia"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废塑料污染控制技术规范》</w:t>
      </w:r>
      <w:r>
        <w:rPr>
          <w:rFonts w:hint="eastAsia" w:cs="宋体"/>
          <w:color w:val="auto"/>
          <w:kern w:val="2"/>
          <w:sz w:val="28"/>
          <w:szCs w:val="28"/>
          <w:lang w:val="en-US" w:eastAsia="zh-CN" w:bidi="ar-SA"/>
        </w:rPr>
        <w:t>行业标准</w:t>
      </w:r>
      <w:r>
        <w:rPr>
          <w:rFonts w:hint="eastAsia" w:ascii="宋体" w:hAnsi="宋体" w:eastAsia="宋体" w:cs="宋体"/>
          <w:color w:val="auto"/>
          <w:kern w:val="2"/>
          <w:sz w:val="28"/>
          <w:szCs w:val="28"/>
          <w:lang w:val="en-US" w:eastAsia="zh-CN" w:bidi="ar-SA"/>
        </w:rPr>
        <w:t>对废塑料回收处理过程中的污染控制等有相关规定。本地方标准充分借鉴国内外先进标准</w:t>
      </w:r>
      <w:r>
        <w:rPr>
          <w:rFonts w:hint="eastAsia"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对微生物降解塑料制品的循环再利用途径、回收处理技术要求、再利用产品质量控制等方面进行规定</w:t>
      </w:r>
      <w:r>
        <w:rPr>
          <w:rFonts w:hint="eastAsia"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并对</w:t>
      </w:r>
      <w:r>
        <w:rPr>
          <w:rFonts w:hint="eastAsia" w:cs="宋体"/>
          <w:color w:val="auto"/>
          <w:kern w:val="2"/>
          <w:sz w:val="28"/>
          <w:szCs w:val="28"/>
          <w:lang w:val="en-US" w:eastAsia="zh-CN" w:bidi="ar-SA"/>
        </w:rPr>
        <w:t>再利用</w:t>
      </w:r>
      <w:r>
        <w:rPr>
          <w:rFonts w:hint="eastAsia" w:ascii="宋体" w:hAnsi="宋体" w:eastAsia="宋体" w:cs="宋体"/>
          <w:color w:val="auto"/>
          <w:kern w:val="2"/>
          <w:sz w:val="28"/>
          <w:szCs w:val="28"/>
          <w:lang w:val="en-US" w:eastAsia="zh-CN" w:bidi="ar-SA"/>
        </w:rPr>
        <w:t>管理提出规范要求</w:t>
      </w:r>
      <w:r>
        <w:rPr>
          <w:rFonts w:hint="eastAsia"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以促进本地微生物降解塑料制品循环再利用产业的健康发展。</w:t>
      </w:r>
    </w:p>
    <w:p w14:paraId="1E41FF74">
      <w:pPr>
        <w:pStyle w:val="3"/>
        <w:widowControl w:val="0"/>
        <w:spacing w:before="160" w:beforeLines="-2147483648" w:beforeAutospacing="0" w:after="160" w:afterLines="-2147483648" w:afterAutospacing="0" w:line="360" w:lineRule="auto"/>
        <w:ind w:left="0"/>
        <w:rPr>
          <w:rFonts w:hint="eastAsia" w:ascii="黑体" w:hAnsi="黑体" w:eastAsia="黑体" w:cs="黑体"/>
          <w:b/>
          <w:bCs/>
          <w:sz w:val="32"/>
          <w:szCs w:val="44"/>
          <w:lang w:val="en-US" w:eastAsia="zh-CN"/>
        </w:rPr>
      </w:pPr>
      <w:r>
        <w:rPr>
          <w:rFonts w:hint="eastAsia" w:ascii="黑体" w:hAnsi="黑体" w:eastAsia="黑体" w:cs="黑体"/>
          <w:b/>
          <w:bCs/>
          <w:sz w:val="32"/>
          <w:szCs w:val="44"/>
          <w:lang w:val="en-US" w:eastAsia="zh-CN"/>
        </w:rPr>
        <w:t>主要条款的说明以及主要技术指标、参数、试验验证的论述</w:t>
      </w:r>
    </w:p>
    <w:p w14:paraId="0A191C1F">
      <w:pPr>
        <w:keepNext w:val="0"/>
        <w:keepLines w:val="0"/>
        <w:widowControl/>
        <w:numPr>
          <w:ilvl w:val="0"/>
          <w:numId w:val="8"/>
        </w:numPr>
        <w:suppressLineNumbers w:val="0"/>
        <w:ind w:left="0" w:leftChars="0" w:firstLine="420" w:firstLineChars="0"/>
        <w:jc w:val="left"/>
        <w:rPr>
          <w:rFonts w:hint="default"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范围</w:t>
      </w:r>
    </w:p>
    <w:p w14:paraId="145D3C28">
      <w:pPr>
        <w:keepNext w:val="0"/>
        <w:keepLines w:val="0"/>
        <w:pageBreakBefore w:val="0"/>
        <w:widowControl w:val="0"/>
        <w:numPr>
          <w:ilvl w:val="-1"/>
          <w:numId w:val="0"/>
        </w:numPr>
        <w:kinsoku/>
        <w:wordWrap/>
        <w:overflowPunct/>
        <w:topLinePunct w:val="0"/>
        <w:autoSpaceDE/>
        <w:autoSpaceDN/>
        <w:bidi w:val="0"/>
        <w:adjustRightInd w:val="0"/>
        <w:snapToGrid w:val="0"/>
        <w:spacing w:before="0" w:beforeLines="-2147483648" w:after="0" w:afterLines="-2147483648" w:line="360" w:lineRule="auto"/>
        <w:ind w:firstLine="560" w:firstLineChars="200"/>
        <w:jc w:val="both"/>
        <w:textAlignment w:val="auto"/>
        <w:outlineLvl w:val="9"/>
        <w:rPr>
          <w:rFonts w:hint="eastAsia" w:ascii="宋体" w:hAnsi="宋体" w:eastAsia="宋体" w:cs="宋体"/>
          <w:bCs/>
          <w:color w:val="auto"/>
          <w:sz w:val="28"/>
          <w:szCs w:val="28"/>
          <w:lang w:val="en-US" w:eastAsia="zh-CN"/>
        </w:rPr>
      </w:pPr>
      <w:r>
        <w:rPr>
          <w:rFonts w:hint="eastAsia" w:ascii="宋体" w:hAnsi="宋体" w:eastAsia="宋体" w:cs="宋体"/>
          <w:bCs/>
          <w:color w:val="auto"/>
          <w:sz w:val="28"/>
          <w:szCs w:val="28"/>
          <w:lang w:val="en-US" w:eastAsia="zh-CN"/>
        </w:rPr>
        <w:t>本文件提供了微生物降解塑料制品的概要、分类及使用、再利用、环境保护要求等方面的指南。</w:t>
      </w:r>
    </w:p>
    <w:p w14:paraId="60EAD4E5">
      <w:pPr>
        <w:keepNext w:val="0"/>
        <w:keepLines w:val="0"/>
        <w:pageBreakBefore w:val="0"/>
        <w:widowControl w:val="0"/>
        <w:numPr>
          <w:ilvl w:val="-1"/>
          <w:numId w:val="0"/>
        </w:numPr>
        <w:kinsoku/>
        <w:wordWrap/>
        <w:overflowPunct/>
        <w:topLinePunct w:val="0"/>
        <w:autoSpaceDE/>
        <w:autoSpaceDN/>
        <w:bidi w:val="0"/>
        <w:adjustRightInd w:val="0"/>
        <w:snapToGrid w:val="0"/>
        <w:spacing w:before="0" w:beforeLines="-2147483648" w:after="0" w:afterLines="-2147483648" w:line="360" w:lineRule="auto"/>
        <w:ind w:firstLine="560" w:firstLineChars="200"/>
        <w:jc w:val="both"/>
        <w:textAlignment w:val="auto"/>
        <w:outlineLvl w:val="9"/>
        <w:rPr>
          <w:rFonts w:hint="eastAsia" w:ascii="宋体" w:hAnsi="宋体" w:eastAsia="宋体" w:cs="宋体"/>
          <w:bCs/>
          <w:color w:val="auto"/>
          <w:sz w:val="28"/>
          <w:szCs w:val="28"/>
          <w:lang w:val="en-US" w:eastAsia="zh-CN"/>
        </w:rPr>
      </w:pPr>
      <w:r>
        <w:rPr>
          <w:rFonts w:hint="eastAsia" w:ascii="宋体" w:hAnsi="宋体" w:eastAsia="宋体" w:cs="宋体"/>
          <w:bCs/>
          <w:color w:val="auto"/>
          <w:sz w:val="28"/>
          <w:szCs w:val="28"/>
          <w:lang w:val="en-US" w:eastAsia="zh-CN"/>
        </w:rPr>
        <w:t>本文件适用于微生物降解塑料制品使用和循环再利用的管理和应用。</w:t>
      </w:r>
    </w:p>
    <w:p w14:paraId="127368DE">
      <w:pPr>
        <w:keepNext w:val="0"/>
        <w:keepLines w:val="0"/>
        <w:widowControl/>
        <w:numPr>
          <w:ilvl w:val="0"/>
          <w:numId w:val="8"/>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规范性引用文件</w:t>
      </w:r>
    </w:p>
    <w:p w14:paraId="38C58A16">
      <w:pPr>
        <w:keepNext w:val="0"/>
        <w:keepLines w:val="0"/>
        <w:pageBreakBefore w:val="0"/>
        <w:widowControl w:val="0"/>
        <w:numPr>
          <w:ilvl w:val="-1"/>
          <w:numId w:val="0"/>
        </w:numPr>
        <w:kinsoku/>
        <w:wordWrap/>
        <w:overflowPunct/>
        <w:topLinePunct w:val="0"/>
        <w:autoSpaceDE/>
        <w:autoSpaceDN/>
        <w:bidi w:val="0"/>
        <w:adjustRightInd w:val="0"/>
        <w:snapToGrid w:val="0"/>
        <w:spacing w:before="0" w:beforeLines="-2147483648" w:after="0" w:afterLines="-2147483648" w:line="360" w:lineRule="auto"/>
        <w:ind w:firstLine="560" w:firstLineChars="200"/>
        <w:jc w:val="both"/>
        <w:textAlignment w:val="auto"/>
        <w:outlineLvl w:val="9"/>
        <w:rPr>
          <w:rFonts w:hint="eastAsia" w:ascii="宋体" w:hAnsi="宋体" w:eastAsia="宋体" w:cs="宋体"/>
          <w:bCs/>
          <w:color w:val="auto"/>
          <w:sz w:val="28"/>
          <w:szCs w:val="28"/>
          <w:lang w:val="en-US" w:eastAsia="zh-CN"/>
        </w:rPr>
      </w:pPr>
      <w:bookmarkStart w:id="1" w:name="_Toc8862"/>
      <w:bookmarkStart w:id="2" w:name="_Toc5329"/>
      <w:r>
        <w:rPr>
          <w:rFonts w:hint="eastAsia" w:ascii="宋体" w:hAnsi="宋体" w:eastAsia="宋体" w:cs="宋体"/>
          <w:bCs/>
          <w:color w:val="auto"/>
          <w:sz w:val="28"/>
          <w:szCs w:val="28"/>
          <w:lang w:val="en-US" w:eastAsia="zh-CN"/>
        </w:rPr>
        <w:t>本文件规范性引用的文件包括HJ 662《水泥窑协同处置固体废物环境保护技术规范》、GB 5085.7《危险废物鉴别标准 通则》、GB 8978《污水综合排放标准》、GB 12348《工业企业厂界环境噪声排放标准》、GB 14554 《恶臭污染物排放标准》、GB 15562.2《环境保护图形标志 固体废物贮存（处置）场》、GB 16297《大气污染物综合排放标准》、GB 18599《一般工业固体废物贮存、处置场污染控制标准》、GB 31572《合成树脂工业污染物排放标准》、GB/T 31962《污水排入城镇下水道水质标准》、GB 34330《固体废物鉴别标准—通则》和GB/T 45090《塑料 再生塑料的标识和标志》。</w:t>
      </w:r>
    </w:p>
    <w:bookmarkEnd w:id="1"/>
    <w:bookmarkEnd w:id="2"/>
    <w:p w14:paraId="66425E88">
      <w:pPr>
        <w:keepNext w:val="0"/>
        <w:keepLines w:val="0"/>
        <w:widowControl/>
        <w:numPr>
          <w:ilvl w:val="0"/>
          <w:numId w:val="8"/>
        </w:numPr>
        <w:suppressLineNumbers w:val="0"/>
        <w:ind w:left="0" w:leftChars="0" w:firstLine="420" w:firstLineChars="0"/>
        <w:jc w:val="left"/>
        <w:rPr>
          <w:rFonts w:hint="eastAsia"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术语和定义</w:t>
      </w:r>
    </w:p>
    <w:p w14:paraId="3F4DA40F">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根据对国内外相关标准、文献的研究，本文件给出了生物降解、微生物降解、降解塑料、微生物降解塑料、循环再利用、相对生物降解率、机械再利用、物理再利用、化学再利用、生物再利用等十个术语及其定义。</w:t>
      </w:r>
    </w:p>
    <w:p w14:paraId="0C300742">
      <w:pPr>
        <w:keepNext w:val="0"/>
        <w:keepLines w:val="0"/>
        <w:widowControl/>
        <w:numPr>
          <w:ilvl w:val="0"/>
          <w:numId w:val="8"/>
        </w:numPr>
        <w:suppressLineNumbers w:val="0"/>
        <w:ind w:left="0" w:leftChars="0" w:firstLine="420" w:firstLineChars="0"/>
        <w:jc w:val="left"/>
        <w:rPr>
          <w:rFonts w:hint="default"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概要</w:t>
      </w:r>
    </w:p>
    <w:p w14:paraId="6B12FD1C">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本章规定了处置微生物降解塑料制品原材料、设计、标识、性能、再利用、企业处置、台账管理、环境保护等方面的总体指导。</w:t>
      </w:r>
    </w:p>
    <w:p w14:paraId="0F5A6BD1">
      <w:pPr>
        <w:keepNext w:val="0"/>
        <w:keepLines w:val="0"/>
        <w:widowControl/>
        <w:numPr>
          <w:ilvl w:val="0"/>
          <w:numId w:val="8"/>
        </w:numPr>
        <w:suppressLineNumbers w:val="0"/>
        <w:ind w:left="0" w:leftChars="0" w:firstLine="420" w:firstLineChars="0"/>
        <w:jc w:val="left"/>
        <w:rPr>
          <w:rFonts w:hint="default"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分类及使用</w:t>
      </w:r>
    </w:p>
    <w:p w14:paraId="4F1E6C5D">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本章规定了微生物降解塑料制品的分类、使用要求及其应用场景。</w:t>
      </w:r>
    </w:p>
    <w:p w14:paraId="3A0178F6">
      <w:pPr>
        <w:keepNext w:val="0"/>
        <w:keepLines w:val="0"/>
        <w:widowControl/>
        <w:numPr>
          <w:ilvl w:val="0"/>
          <w:numId w:val="8"/>
        </w:numPr>
        <w:suppressLineNumbers w:val="0"/>
        <w:ind w:left="0" w:leftChars="0" w:firstLine="420" w:firstLineChars="0"/>
        <w:jc w:val="left"/>
        <w:rPr>
          <w:rFonts w:hint="default"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再利用</w:t>
      </w:r>
    </w:p>
    <w:p w14:paraId="319FCAA7">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default"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本章规定了微生物降解塑料制品再利用概要、流程、收集、运输、预处理、再利用途径。</w:t>
      </w:r>
    </w:p>
    <w:p w14:paraId="2943A292">
      <w:pPr>
        <w:keepNext w:val="0"/>
        <w:keepLines w:val="0"/>
        <w:widowControl/>
        <w:numPr>
          <w:ilvl w:val="0"/>
          <w:numId w:val="8"/>
        </w:numPr>
        <w:suppressLineNumbers w:val="0"/>
        <w:ind w:left="0" w:leftChars="0" w:firstLine="420" w:firstLineChars="0"/>
        <w:jc w:val="left"/>
        <w:rPr>
          <w:rFonts w:hint="default" w:ascii="楷体" w:hAnsi="楷体" w:eastAsia="楷体" w:cs="楷体"/>
          <w:color w:val="000000"/>
          <w:kern w:val="0"/>
          <w:sz w:val="30"/>
          <w:szCs w:val="30"/>
          <w:lang w:val="en-US" w:eastAsia="zh-CN" w:bidi="ar"/>
        </w:rPr>
      </w:pPr>
      <w:r>
        <w:rPr>
          <w:rFonts w:hint="eastAsia" w:ascii="楷体" w:hAnsi="楷体" w:eastAsia="楷体" w:cs="楷体"/>
          <w:color w:val="000000"/>
          <w:kern w:val="0"/>
          <w:sz w:val="30"/>
          <w:szCs w:val="30"/>
          <w:lang w:val="en-US" w:eastAsia="zh-CN" w:bidi="ar"/>
        </w:rPr>
        <w:t>环境保护要求</w:t>
      </w:r>
    </w:p>
    <w:p w14:paraId="47813B42">
      <w:pPr>
        <w:keepNext w:val="0"/>
        <w:keepLines w:val="0"/>
        <w:pageBreakBefore w:val="0"/>
        <w:widowControl w:val="0"/>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本章规定了微生物降解塑料制品的环境保护要求。</w:t>
      </w:r>
    </w:p>
    <w:p w14:paraId="1EFAA5EF">
      <w:pPr>
        <w:pStyle w:val="3"/>
        <w:spacing w:before="160" w:after="160" w:line="240" w:lineRule="auto"/>
        <w:rPr>
          <w:rFonts w:hint="eastAsia" w:ascii="黑体" w:hAnsi="黑体" w:eastAsia="黑体" w:cs="黑体"/>
          <w:b/>
          <w:sz w:val="32"/>
          <w:lang w:val="en-US" w:eastAsia="zh-CN"/>
        </w:rPr>
      </w:pPr>
      <w:bookmarkStart w:id="3" w:name="_Toc2828"/>
      <w:r>
        <w:rPr>
          <w:rFonts w:hint="eastAsia" w:ascii="黑体" w:hAnsi="黑体" w:eastAsia="黑体" w:cs="黑体"/>
          <w:b/>
          <w:sz w:val="32"/>
          <w:lang w:val="en-US" w:eastAsia="zh-CN"/>
        </w:rPr>
        <w:t>是否涉及专利等知识产权问题</w:t>
      </w:r>
      <w:bookmarkEnd w:id="3"/>
    </w:p>
    <w:p w14:paraId="71073701">
      <w:pPr>
        <w:spacing w:line="480" w:lineRule="exact"/>
        <w:ind w:firstLine="560" w:firstLineChars="200"/>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无。</w:t>
      </w:r>
    </w:p>
    <w:p w14:paraId="69959C22">
      <w:pPr>
        <w:pStyle w:val="3"/>
        <w:spacing w:before="160" w:after="160" w:line="240" w:lineRule="auto"/>
        <w:rPr>
          <w:rFonts w:hint="eastAsia" w:ascii="黑体" w:hAnsi="黑体" w:eastAsia="黑体" w:cs="黑体"/>
          <w:b/>
          <w:sz w:val="32"/>
          <w:lang w:val="en-US" w:eastAsia="zh-CN"/>
        </w:rPr>
      </w:pPr>
      <w:bookmarkStart w:id="4" w:name="_Toc67578205"/>
      <w:bookmarkStart w:id="5" w:name="_Toc3029"/>
      <w:r>
        <w:rPr>
          <w:rFonts w:hint="eastAsia" w:ascii="黑体" w:hAnsi="黑体" w:eastAsia="黑体" w:cs="黑体"/>
          <w:b/>
          <w:sz w:val="32"/>
          <w:lang w:val="en-US" w:eastAsia="zh-CN"/>
        </w:rPr>
        <w:t>重大意见分歧的处理依据和结果</w:t>
      </w:r>
      <w:bookmarkEnd w:id="4"/>
      <w:bookmarkEnd w:id="5"/>
    </w:p>
    <w:p w14:paraId="485A9BC4">
      <w:pPr>
        <w:spacing w:line="480" w:lineRule="exact"/>
        <w:ind w:firstLine="560" w:firstLineChars="200"/>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无。</w:t>
      </w:r>
    </w:p>
    <w:p w14:paraId="32B69E9A">
      <w:pPr>
        <w:pStyle w:val="3"/>
        <w:spacing w:before="160" w:after="160" w:line="240" w:lineRule="auto"/>
        <w:rPr>
          <w:rFonts w:hint="eastAsia" w:ascii="黑体" w:hAnsi="黑体" w:eastAsia="黑体" w:cs="黑体"/>
          <w:b/>
          <w:sz w:val="32"/>
          <w:lang w:val="en-US" w:eastAsia="zh-CN"/>
        </w:rPr>
      </w:pPr>
      <w:bookmarkStart w:id="6" w:name="_Toc67578206"/>
      <w:bookmarkStart w:id="7" w:name="_Toc10879"/>
      <w:r>
        <w:rPr>
          <w:rFonts w:hint="eastAsia" w:ascii="黑体" w:hAnsi="黑体" w:eastAsia="黑体" w:cs="黑体"/>
          <w:b/>
          <w:sz w:val="32"/>
          <w:lang w:val="en-US" w:eastAsia="zh-CN"/>
        </w:rPr>
        <w:t>实施地方标准的措施建议</w:t>
      </w:r>
      <w:bookmarkEnd w:id="6"/>
      <w:bookmarkEnd w:id="7"/>
    </w:p>
    <w:p w14:paraId="12DE749D">
      <w:pPr>
        <w:keepNext w:val="0"/>
        <w:keepLines w:val="0"/>
        <w:pageBreakBefore w:val="0"/>
        <w:widowControl/>
        <w:kinsoku/>
        <w:wordWrap/>
        <w:overflowPunct/>
        <w:topLinePunct w:val="0"/>
        <w:autoSpaceDE/>
        <w:autoSpaceDN/>
        <w:bidi w:val="0"/>
        <w:adjustRightInd w:val="0"/>
        <w:snapToGrid w:val="0"/>
        <w:spacing w:before="0" w:after="0" w:line="360" w:lineRule="auto"/>
        <w:ind w:firstLine="560" w:firstLineChars="200"/>
        <w:textAlignment w:val="auto"/>
        <w:rPr>
          <w:rFonts w:hint="eastAsia" w:ascii="宋体" w:hAnsi="宋体" w:eastAsia="宋体" w:cs="宋体"/>
          <w:color w:val="000000"/>
          <w:sz w:val="28"/>
          <w:szCs w:val="28"/>
          <w:lang w:val="en-US" w:eastAsia="zh-CN"/>
        </w:rPr>
      </w:pPr>
      <w:r>
        <w:rPr>
          <w:rFonts w:hint="eastAsia" w:ascii="宋体" w:hAnsi="宋体" w:eastAsia="宋体" w:cs="宋体"/>
          <w:color w:val="000000"/>
          <w:sz w:val="28"/>
          <w:szCs w:val="28"/>
          <w:lang w:val="en-US" w:eastAsia="zh-CN"/>
        </w:rPr>
        <w:t>建议通过开展标准的宣贯、培训和标准实施跟踪检查等方式推动标准实施。利用多种渠道、多种方式加强本文件的宣贯，对本文件的执行情况进行跟踪调查，并对标准实施效果进行评估，及时发现并解决标准实施过程中存在的问题，适时开展修订完善工作，提升标准的科学性和适用性。加强使用单位对标准内容的理解和运用，为微生物降解塑料制品使用和循环再利用提供依据。</w:t>
      </w:r>
    </w:p>
    <w:p w14:paraId="00DFF25F">
      <w:pPr>
        <w:pStyle w:val="3"/>
        <w:spacing w:before="160" w:after="160" w:line="240" w:lineRule="auto"/>
        <w:rPr>
          <w:rFonts w:hint="eastAsia" w:ascii="黑体" w:hAnsi="黑体" w:eastAsia="黑体" w:cs="黑体"/>
          <w:b/>
          <w:sz w:val="32"/>
          <w:lang w:val="en-US" w:eastAsia="zh-CN"/>
        </w:rPr>
      </w:pPr>
      <w:bookmarkStart w:id="8" w:name="_Toc67578207"/>
      <w:bookmarkStart w:id="9" w:name="_Toc32289"/>
      <w:r>
        <w:rPr>
          <w:rFonts w:hint="eastAsia" w:ascii="黑体" w:hAnsi="黑体" w:eastAsia="黑体" w:cs="黑体"/>
          <w:b/>
          <w:sz w:val="32"/>
          <w:lang w:val="en-US" w:eastAsia="zh-CN"/>
        </w:rPr>
        <w:t>其他需要说明的事项</w:t>
      </w:r>
      <w:bookmarkEnd w:id="8"/>
      <w:bookmarkEnd w:id="9"/>
    </w:p>
    <w:p w14:paraId="3BEC76A9">
      <w:pPr>
        <w:keepNext w:val="0"/>
        <w:keepLines w:val="0"/>
        <w:pageBreakBefore w:val="0"/>
        <w:widowControl w:val="0"/>
        <w:kinsoku/>
        <w:wordWrap/>
        <w:overflowPunct/>
        <w:topLinePunct w:val="0"/>
        <w:autoSpaceDE/>
        <w:autoSpaceDN/>
        <w:bidi w:val="0"/>
        <w:adjustRightInd/>
        <w:snapToGrid w:val="0"/>
        <w:spacing w:line="360" w:lineRule="auto"/>
        <w:ind w:firstLine="560" w:firstLineChars="200"/>
        <w:jc w:val="left"/>
        <w:textAlignment w:val="auto"/>
        <w:rPr>
          <w:rFonts w:hint="eastAsia" w:ascii="宋体" w:hAnsi="宋体" w:eastAsia="宋体" w:cs="宋体"/>
          <w:b w:val="0"/>
          <w:bCs w:val="0"/>
          <w:kern w:val="2"/>
          <w:sz w:val="21"/>
          <w:szCs w:val="21"/>
          <w:highlight w:val="none"/>
          <w:lang w:val="en-US" w:eastAsia="zh-CN"/>
        </w:rPr>
      </w:pPr>
      <w:r>
        <w:rPr>
          <w:rFonts w:hint="eastAsia" w:ascii="宋体" w:hAnsi="宋体" w:eastAsia="宋体" w:cs="宋体"/>
          <w:sz w:val="28"/>
          <w:szCs w:val="28"/>
          <w:lang w:val="en-US" w:eastAsia="zh-CN"/>
        </w:rPr>
        <w:t>无。</w:t>
      </w:r>
    </w:p>
    <w:sectPr>
      <w:footerReference r:id="rId4" w:type="default"/>
      <w:pgSz w:w="11900" w:h="16820"/>
      <w:pgMar w:top="1440" w:right="1803" w:bottom="1440" w:left="1800" w:header="720" w:footer="720" w:gutter="0"/>
      <w:pgNumType w:fmt="decimal" w:start="1"/>
      <w:cols w:space="0" w:num="1"/>
      <w:rtlGutter w:val="0"/>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embedRegular r:id="rId1" w:fontKey="{4C10B825-F9C2-4097-A38D-5EC870EAC357}"/>
  </w:font>
  <w:font w:name="宋体">
    <w:panose1 w:val="02010600030101010101"/>
    <w:charset w:val="7A"/>
    <w:family w:val="auto"/>
    <w:pitch w:val="default"/>
    <w:sig w:usb0="00000203" w:usb1="288F0000" w:usb2="00000006" w:usb3="00000000" w:csb0="00040001" w:csb1="00000000"/>
    <w:embedRegular r:id="rId2" w:fontKey="{82E022B3-1B97-40C6-88D9-538C81127F6F}"/>
  </w:font>
  <w:font w:name="Wingdings">
    <w:panose1 w:val="05000000000000000000"/>
    <w:charset w:val="02"/>
    <w:family w:val="auto"/>
    <w:pitch w:val="default"/>
    <w:sig w:usb0="00000000" w:usb1="00000000" w:usb2="00000000" w:usb3="00000000" w:csb0="80000000" w:csb1="00000000"/>
    <w:embedRegular r:id="rId3" w:fontKey="{03C13D59-DA07-4DE5-BA50-57CAC4F75281}"/>
  </w:font>
  <w:font w:name="Arial">
    <w:panose1 w:val="020B0604020202020204"/>
    <w:charset w:val="01"/>
    <w:family w:val="swiss"/>
    <w:pitch w:val="default"/>
    <w:sig w:usb0="E0002EFF" w:usb1="C000785B" w:usb2="00000009" w:usb3="00000000" w:csb0="400001FF" w:csb1="FFFF0000"/>
    <w:embedRegular r:id="rId4" w:fontKey="{E1801705-293F-4AD8-9225-B2DBFBE891EE}"/>
  </w:font>
  <w:font w:name="黑体">
    <w:panose1 w:val="02010609060101010101"/>
    <w:charset w:val="86"/>
    <w:family w:val="auto"/>
    <w:pitch w:val="default"/>
    <w:sig w:usb0="800002BF" w:usb1="38CF7CFA" w:usb2="00000016" w:usb3="00000000" w:csb0="00040001" w:csb1="00000000"/>
    <w:embedRegular r:id="rId5" w:fontKey="{99AF12C5-9188-4DA8-B69A-B0C09FB0CF0D}"/>
  </w:font>
  <w:font w:name="Courier New">
    <w:panose1 w:val="02070309020205020404"/>
    <w:charset w:val="01"/>
    <w:family w:val="modern"/>
    <w:pitch w:val="default"/>
    <w:sig w:usb0="E0002EFF" w:usb1="C0007843" w:usb2="00000009" w:usb3="00000000" w:csb0="400001FF" w:csb1="FFFF0000"/>
    <w:embedRegular r:id="rId6" w:fontKey="{12D37729-3D8C-40B2-8160-03A8F178F5BC}"/>
  </w:font>
  <w:font w:name="Symbol">
    <w:panose1 w:val="05050102010706020507"/>
    <w:charset w:val="02"/>
    <w:family w:val="roman"/>
    <w:pitch w:val="default"/>
    <w:sig w:usb0="00000000" w:usb1="00000000" w:usb2="00000000" w:usb3="00000000" w:csb0="80000000" w:csb1="00000000"/>
    <w:embedRegular r:id="rId7" w:fontKey="{5F497DE6-D94D-470A-BD28-CC7EDC7CDE8E}"/>
  </w:font>
  <w:font w:name="Calibri">
    <w:panose1 w:val="020F0502020204030204"/>
    <w:charset w:val="00"/>
    <w:family w:val="swiss"/>
    <w:pitch w:val="default"/>
    <w:sig w:usb0="E4002EFF" w:usb1="C000247B" w:usb2="00000009" w:usb3="00000000" w:csb0="200001FF" w:csb1="00000000"/>
    <w:embedRegular r:id="rId8" w:fontKey="{75C5F866-67EE-4A71-A0E9-3392EEF1E959}"/>
  </w:font>
  <w:font w:name="楷体">
    <w:panose1 w:val="02010609060101010101"/>
    <w:charset w:val="86"/>
    <w:family w:val="auto"/>
    <w:pitch w:val="default"/>
    <w:sig w:usb0="800002BF" w:usb1="38CF7CFA" w:usb2="00000016" w:usb3="00000000" w:csb0="00040001" w:csb1="00000000"/>
    <w:embedRegular r:id="rId9" w:fontKey="{79CC37E6-0E53-4C12-B0BB-021E5F401553}"/>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embedRegular r:id="rId10" w:fontKey="{5EDAF76F-3B7C-4296-BF59-6F51ED77C74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3640B4">
    <w:pPr>
      <w:pStyle w:val="1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BECECC">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2ABECECC">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F1EBD5C"/>
    <w:multiLevelType w:val="singleLevel"/>
    <w:tmpl w:val="8F1EBD5C"/>
    <w:lvl w:ilvl="0" w:tentative="0">
      <w:start w:val="1"/>
      <w:numFmt w:val="chineseCounting"/>
      <w:suff w:val="nothing"/>
      <w:lvlText w:val="（%1）"/>
      <w:lvlJc w:val="left"/>
      <w:pPr>
        <w:ind w:left="0" w:firstLine="420"/>
      </w:pPr>
      <w:rPr>
        <w:rFonts w:hint="eastAsia" w:ascii="楷体" w:hAnsi="楷体" w:eastAsia="楷体" w:cs="楷体"/>
      </w:rPr>
    </w:lvl>
  </w:abstractNum>
  <w:abstractNum w:abstractNumId="1">
    <w:nsid w:val="A5D45C0E"/>
    <w:multiLevelType w:val="multilevel"/>
    <w:tmpl w:val="A5D45C0E"/>
    <w:lvl w:ilvl="0" w:tentative="0">
      <w:start w:val="1"/>
      <w:numFmt w:val="chineseCounting"/>
      <w:pStyle w:val="3"/>
      <w:suff w:val="nothing"/>
      <w:lvlText w:val="%1、"/>
      <w:lvlJc w:val="left"/>
      <w:pPr>
        <w:ind w:left="0" w:firstLine="0"/>
      </w:pPr>
      <w:rPr>
        <w:rFonts w:hint="eastAsia"/>
        <w:highlight w:val="none"/>
      </w:rPr>
    </w:lvl>
    <w:lvl w:ilvl="1" w:tentative="0">
      <w:start w:val="1"/>
      <w:numFmt w:val="chineseCounting"/>
      <w:pStyle w:val="4"/>
      <w:suff w:val="nothing"/>
      <w:lvlText w:val="（%2）"/>
      <w:lvlJc w:val="left"/>
      <w:pPr>
        <w:ind w:left="0" w:firstLine="0"/>
      </w:pPr>
      <w:rPr>
        <w:rFonts w:hint="eastAsia"/>
      </w:rPr>
    </w:lvl>
    <w:lvl w:ilvl="2" w:tentative="0">
      <w:start w:val="1"/>
      <w:numFmt w:val="decimal"/>
      <w:pStyle w:val="5"/>
      <w:suff w:val="nothing"/>
      <w:lvlText w:val="%3．"/>
      <w:lvlJc w:val="left"/>
      <w:pPr>
        <w:ind w:left="0" w:firstLine="400"/>
      </w:pPr>
      <w:rPr>
        <w:rFonts w:hint="eastAsia"/>
      </w:rPr>
    </w:lvl>
    <w:lvl w:ilvl="3" w:tentative="0">
      <w:start w:val="1"/>
      <w:numFmt w:val="decimal"/>
      <w:pStyle w:val="6"/>
      <w:suff w:val="nothing"/>
      <w:lvlText w:val="（%4）"/>
      <w:lvlJc w:val="left"/>
      <w:pPr>
        <w:ind w:left="0" w:firstLine="402"/>
      </w:pPr>
      <w:rPr>
        <w:rFonts w:hint="eastAsia"/>
      </w:rPr>
    </w:lvl>
    <w:lvl w:ilvl="4" w:tentative="0">
      <w:start w:val="1"/>
      <w:numFmt w:val="decimalEnclosedCircleChinese"/>
      <w:pStyle w:val="7"/>
      <w:suff w:val="nothing"/>
      <w:lvlText w:val="%5"/>
      <w:lvlJc w:val="left"/>
      <w:pPr>
        <w:ind w:left="0" w:firstLine="402"/>
      </w:pPr>
      <w:rPr>
        <w:rFonts w:hint="eastAsia"/>
      </w:rPr>
    </w:lvl>
    <w:lvl w:ilvl="5" w:tentative="0">
      <w:start w:val="1"/>
      <w:numFmt w:val="decimal"/>
      <w:pStyle w:val="8"/>
      <w:suff w:val="nothing"/>
      <w:lvlText w:val="%6）"/>
      <w:lvlJc w:val="left"/>
      <w:pPr>
        <w:ind w:left="0" w:firstLine="402"/>
      </w:pPr>
      <w:rPr>
        <w:rFonts w:hint="eastAsia"/>
      </w:rPr>
    </w:lvl>
    <w:lvl w:ilvl="6" w:tentative="0">
      <w:start w:val="1"/>
      <w:numFmt w:val="lowerLetter"/>
      <w:pStyle w:val="9"/>
      <w:suff w:val="nothing"/>
      <w:lvlText w:val="%7．"/>
      <w:lvlJc w:val="left"/>
      <w:pPr>
        <w:ind w:left="0" w:firstLine="402"/>
      </w:pPr>
      <w:rPr>
        <w:rFonts w:hint="eastAsia"/>
      </w:rPr>
    </w:lvl>
    <w:lvl w:ilvl="7" w:tentative="0">
      <w:start w:val="1"/>
      <w:numFmt w:val="lowerLetter"/>
      <w:pStyle w:val="10"/>
      <w:suff w:val="nothing"/>
      <w:lvlText w:val="%8）"/>
      <w:lvlJc w:val="left"/>
      <w:pPr>
        <w:ind w:left="0" w:firstLine="402"/>
      </w:pPr>
      <w:rPr>
        <w:rFonts w:hint="eastAsia"/>
      </w:rPr>
    </w:lvl>
    <w:lvl w:ilvl="8" w:tentative="0">
      <w:start w:val="1"/>
      <w:numFmt w:val="lowerRoman"/>
      <w:pStyle w:val="11"/>
      <w:suff w:val="nothing"/>
      <w:lvlText w:val="%9 "/>
      <w:lvlJc w:val="left"/>
      <w:pPr>
        <w:ind w:left="0" w:firstLine="402"/>
      </w:pPr>
      <w:rPr>
        <w:rFonts w:hint="eastAsia"/>
      </w:rPr>
    </w:lvl>
  </w:abstractNum>
  <w:abstractNum w:abstractNumId="2">
    <w:nsid w:val="D3FB511A"/>
    <w:multiLevelType w:val="singleLevel"/>
    <w:tmpl w:val="D3FB511A"/>
    <w:lvl w:ilvl="0" w:tentative="0">
      <w:start w:val="1"/>
      <w:numFmt w:val="chineseCounting"/>
      <w:suff w:val="nothing"/>
      <w:lvlText w:val="（%1）"/>
      <w:lvlJc w:val="left"/>
      <w:pPr>
        <w:ind w:left="0" w:firstLine="420"/>
      </w:pPr>
      <w:rPr>
        <w:rFonts w:hint="eastAsia" w:ascii="楷体" w:hAnsi="楷体" w:eastAsia="楷体" w:cs="楷体"/>
      </w:rPr>
    </w:lvl>
  </w:abstractNum>
  <w:abstractNum w:abstractNumId="3">
    <w:nsid w:val="078802BF"/>
    <w:multiLevelType w:val="singleLevel"/>
    <w:tmpl w:val="078802BF"/>
    <w:lvl w:ilvl="0" w:tentative="0">
      <w:start w:val="1"/>
      <w:numFmt w:val="chineseCounting"/>
      <w:suff w:val="nothing"/>
      <w:lvlText w:val="（%1）"/>
      <w:lvlJc w:val="left"/>
      <w:pPr>
        <w:ind w:left="0" w:firstLine="420"/>
      </w:pPr>
      <w:rPr>
        <w:rFonts w:hint="eastAsia" w:ascii="楷体" w:hAnsi="楷体" w:eastAsia="楷体" w:cs="楷体"/>
      </w:rPr>
    </w:lvl>
  </w:abstractNum>
  <w:abstractNum w:abstractNumId="4">
    <w:nsid w:val="1237AE7A"/>
    <w:multiLevelType w:val="singleLevel"/>
    <w:tmpl w:val="1237AE7A"/>
    <w:lvl w:ilvl="0" w:tentative="0">
      <w:start w:val="2"/>
      <w:numFmt w:val="decimal"/>
      <w:suff w:val="space"/>
      <w:lvlText w:val="%1."/>
      <w:lvlJc w:val="left"/>
    </w:lvl>
  </w:abstractNum>
  <w:abstractNum w:abstractNumId="5">
    <w:nsid w:val="1FADFB00"/>
    <w:multiLevelType w:val="singleLevel"/>
    <w:tmpl w:val="1FADFB00"/>
    <w:lvl w:ilvl="0" w:tentative="0">
      <w:start w:val="1"/>
      <w:numFmt w:val="chineseCounting"/>
      <w:suff w:val="nothing"/>
      <w:lvlText w:val="（%1）"/>
      <w:lvlJc w:val="left"/>
      <w:pPr>
        <w:ind w:left="0" w:firstLine="420"/>
      </w:pPr>
      <w:rPr>
        <w:rFonts w:hint="eastAsia" w:ascii="楷体" w:hAnsi="楷体" w:eastAsia="楷体" w:cs="楷体"/>
      </w:rPr>
    </w:lvl>
  </w:abstractNum>
  <w:abstractNum w:abstractNumId="6">
    <w:nsid w:val="1FC91163"/>
    <w:multiLevelType w:val="multilevel"/>
    <w:tmpl w:val="1FC91163"/>
    <w:lvl w:ilvl="0" w:tentative="0">
      <w:start w:val="1"/>
      <w:numFmt w:val="decimal"/>
      <w:pStyle w:val="26"/>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9"/>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30"/>
      <w:suff w:val="nothing"/>
      <w:lvlText w:val="%1.%2.%3　"/>
      <w:lvlJc w:val="left"/>
      <w:pPr>
        <w:ind w:left="4111" w:firstLine="0"/>
      </w:pPr>
      <w:rPr>
        <w:rFonts w:hint="eastAsia" w:ascii="黑体" w:hAnsi="Times New Roman" w:eastAsia="黑体"/>
        <w:b w:val="0"/>
        <w:i w:val="0"/>
        <w:color w:val="00000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7">
    <w:nsid w:val="657D3FBC"/>
    <w:multiLevelType w:val="multilevel"/>
    <w:tmpl w:val="657D3FBC"/>
    <w:lvl w:ilvl="0" w:tentative="0">
      <w:start w:val="1"/>
      <w:numFmt w:val="upperLetter"/>
      <w:pStyle w:val="31"/>
      <w:suff w:val="nothing"/>
      <w:lvlText w:val="附　录　%1"/>
      <w:lvlJc w:val="left"/>
      <w:pPr>
        <w:ind w:left="0" w:firstLine="0"/>
      </w:pPr>
      <w:rPr>
        <w:rFonts w:hint="eastAsia" w:ascii="黑体" w:hAnsi="Times New Roman" w:eastAsia="黑体"/>
        <w:b w:val="0"/>
        <w:i w:val="0"/>
        <w:spacing w:val="0"/>
        <w:w w:val="100"/>
        <w:sz w:val="21"/>
      </w:rPr>
    </w:lvl>
    <w:lvl w:ilvl="1" w:tentative="0">
      <w:start w:val="1"/>
      <w:numFmt w:val="decimal"/>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ascii="黑体" w:hAnsi="黑体" w:eastAsia="黑体" w:cs="Times New Roman"/>
        <w:b w:val="0"/>
        <w:bCs w:val="0"/>
        <w:i w:val="0"/>
        <w:iCs w:val="0"/>
        <w:caps w:val="0"/>
        <w:smallCaps w:val="0"/>
        <w:strike w:val="0"/>
        <w:dstrike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1"/>
  </w:num>
  <w:num w:numId="2">
    <w:abstractNumId w:val="6"/>
  </w:num>
  <w:num w:numId="3">
    <w:abstractNumId w:val="7"/>
  </w:num>
  <w:num w:numId="4">
    <w:abstractNumId w:val="2"/>
  </w:num>
  <w:num w:numId="5">
    <w:abstractNumId w:val="5"/>
  </w:num>
  <w:num w:numId="6">
    <w:abstractNumId w:val="4"/>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bordersDoNotSurroundHeader w:val="0"/>
  <w:bordersDoNotSurroundFooter w:val="0"/>
  <w:documentProtection w:enforcement="0"/>
  <w:defaultTabStop w:val="708"/>
  <w:displayHorizontalDrawingGridEvery w:val="1"/>
  <w:displayVerticalDrawingGridEvery w:val="1"/>
  <w:noPunctuationKerning w:val="1"/>
  <w:characterSpacingControl w:val="doNotCompress"/>
  <w:footnotePr>
    <w:footnote w:id="0"/>
    <w:footnote w:id="1"/>
  </w:foot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E2ZTRmNmI0NTRhMDRiZTE4NjAyZDg1ZTUzNWViNzEifQ=="/>
    <w:docVar w:name="KSO_WPS_MARK_KEY" w:val="894c2491-7e7f-4aa5-a3cc-edff33c968ae"/>
  </w:docVars>
  <w:rsids>
    <w:rsidRoot w:val="00BA5B2D"/>
    <w:rsid w:val="001570FF"/>
    <w:rsid w:val="00493B0C"/>
    <w:rsid w:val="004D6899"/>
    <w:rsid w:val="00771B68"/>
    <w:rsid w:val="007F0A1D"/>
    <w:rsid w:val="008F6EB2"/>
    <w:rsid w:val="00A76F18"/>
    <w:rsid w:val="00AE30B0"/>
    <w:rsid w:val="00B06B85"/>
    <w:rsid w:val="00B06E28"/>
    <w:rsid w:val="00B87A8B"/>
    <w:rsid w:val="00BA5B2D"/>
    <w:rsid w:val="00D5421B"/>
    <w:rsid w:val="00DE3995"/>
    <w:rsid w:val="00F431B9"/>
    <w:rsid w:val="015B6D94"/>
    <w:rsid w:val="01BF5575"/>
    <w:rsid w:val="01C04E49"/>
    <w:rsid w:val="01EB2D5B"/>
    <w:rsid w:val="021653B1"/>
    <w:rsid w:val="02274EC8"/>
    <w:rsid w:val="02343E4F"/>
    <w:rsid w:val="029A38EC"/>
    <w:rsid w:val="02A4476B"/>
    <w:rsid w:val="02B01361"/>
    <w:rsid w:val="02B349AE"/>
    <w:rsid w:val="02F254D6"/>
    <w:rsid w:val="032B09E8"/>
    <w:rsid w:val="03433F84"/>
    <w:rsid w:val="03D95453"/>
    <w:rsid w:val="03F37758"/>
    <w:rsid w:val="042E6498"/>
    <w:rsid w:val="04781A0B"/>
    <w:rsid w:val="049D3B67"/>
    <w:rsid w:val="04A62A1C"/>
    <w:rsid w:val="04AD3DAA"/>
    <w:rsid w:val="04AF62B0"/>
    <w:rsid w:val="04BA64C7"/>
    <w:rsid w:val="050D6CCC"/>
    <w:rsid w:val="05616943"/>
    <w:rsid w:val="0590366D"/>
    <w:rsid w:val="059960DD"/>
    <w:rsid w:val="05B11678"/>
    <w:rsid w:val="05C25634"/>
    <w:rsid w:val="05D9472B"/>
    <w:rsid w:val="05DD246D"/>
    <w:rsid w:val="05DE5EC5"/>
    <w:rsid w:val="06793A83"/>
    <w:rsid w:val="06BC02D5"/>
    <w:rsid w:val="06D3561E"/>
    <w:rsid w:val="07287718"/>
    <w:rsid w:val="07797F74"/>
    <w:rsid w:val="0781151E"/>
    <w:rsid w:val="079A5EDF"/>
    <w:rsid w:val="08114650"/>
    <w:rsid w:val="08273E74"/>
    <w:rsid w:val="0858402D"/>
    <w:rsid w:val="08A6123D"/>
    <w:rsid w:val="08F978D4"/>
    <w:rsid w:val="097430E9"/>
    <w:rsid w:val="09AA6B0A"/>
    <w:rsid w:val="09C63218"/>
    <w:rsid w:val="09F064E7"/>
    <w:rsid w:val="0A3665F0"/>
    <w:rsid w:val="0A3C53FA"/>
    <w:rsid w:val="0A601793"/>
    <w:rsid w:val="0A886737"/>
    <w:rsid w:val="0ABA0FCF"/>
    <w:rsid w:val="0AD6749B"/>
    <w:rsid w:val="0B1A1A6E"/>
    <w:rsid w:val="0B41524D"/>
    <w:rsid w:val="0C0B585A"/>
    <w:rsid w:val="0C3054BD"/>
    <w:rsid w:val="0C322DE7"/>
    <w:rsid w:val="0C397203"/>
    <w:rsid w:val="0C517711"/>
    <w:rsid w:val="0C6D783C"/>
    <w:rsid w:val="0C7D5CBA"/>
    <w:rsid w:val="0C865FF6"/>
    <w:rsid w:val="0C9D2BEC"/>
    <w:rsid w:val="0CD8398F"/>
    <w:rsid w:val="0CD914B5"/>
    <w:rsid w:val="0D4A5F0F"/>
    <w:rsid w:val="0D7336B7"/>
    <w:rsid w:val="0DA037A2"/>
    <w:rsid w:val="0DA815B3"/>
    <w:rsid w:val="0DB56DD5"/>
    <w:rsid w:val="0E0A5DCA"/>
    <w:rsid w:val="0E1F2F02"/>
    <w:rsid w:val="0E2D3866"/>
    <w:rsid w:val="0E333DF7"/>
    <w:rsid w:val="0E730D8C"/>
    <w:rsid w:val="0E8F2773"/>
    <w:rsid w:val="0EC75A69"/>
    <w:rsid w:val="0EDB7766"/>
    <w:rsid w:val="0F0767AD"/>
    <w:rsid w:val="0F0A3BA7"/>
    <w:rsid w:val="0F3A448D"/>
    <w:rsid w:val="0F515C7A"/>
    <w:rsid w:val="0F5372FC"/>
    <w:rsid w:val="0F6E2388"/>
    <w:rsid w:val="0F725F67"/>
    <w:rsid w:val="0F783207"/>
    <w:rsid w:val="0FB02950"/>
    <w:rsid w:val="0FC770AD"/>
    <w:rsid w:val="0FF26B15"/>
    <w:rsid w:val="102313C5"/>
    <w:rsid w:val="107439CE"/>
    <w:rsid w:val="10FE14EA"/>
    <w:rsid w:val="1103606A"/>
    <w:rsid w:val="11AD3E58"/>
    <w:rsid w:val="11DD02B7"/>
    <w:rsid w:val="11E42DD6"/>
    <w:rsid w:val="1203182E"/>
    <w:rsid w:val="12072620"/>
    <w:rsid w:val="123759BF"/>
    <w:rsid w:val="123B5C73"/>
    <w:rsid w:val="126A32DB"/>
    <w:rsid w:val="12A10CC7"/>
    <w:rsid w:val="12AA7B7B"/>
    <w:rsid w:val="12EC1F42"/>
    <w:rsid w:val="12FE3A23"/>
    <w:rsid w:val="13053004"/>
    <w:rsid w:val="131D063E"/>
    <w:rsid w:val="13370CE3"/>
    <w:rsid w:val="133B07D3"/>
    <w:rsid w:val="137912FC"/>
    <w:rsid w:val="13824654"/>
    <w:rsid w:val="13857CA0"/>
    <w:rsid w:val="13DD7ADC"/>
    <w:rsid w:val="13F82B68"/>
    <w:rsid w:val="14276FAA"/>
    <w:rsid w:val="1434111C"/>
    <w:rsid w:val="14D03E5F"/>
    <w:rsid w:val="14F0383F"/>
    <w:rsid w:val="152F3242"/>
    <w:rsid w:val="15407F68"/>
    <w:rsid w:val="154C1DE6"/>
    <w:rsid w:val="154D4856"/>
    <w:rsid w:val="155E0FE1"/>
    <w:rsid w:val="159D5775"/>
    <w:rsid w:val="15B268BB"/>
    <w:rsid w:val="15E65EAA"/>
    <w:rsid w:val="15EE49F9"/>
    <w:rsid w:val="16286819"/>
    <w:rsid w:val="16445BF1"/>
    <w:rsid w:val="165A18B8"/>
    <w:rsid w:val="16B32D77"/>
    <w:rsid w:val="16B410B6"/>
    <w:rsid w:val="16E51C14"/>
    <w:rsid w:val="16EA150A"/>
    <w:rsid w:val="16EE1BB5"/>
    <w:rsid w:val="172D1C46"/>
    <w:rsid w:val="173B5246"/>
    <w:rsid w:val="17643773"/>
    <w:rsid w:val="17AF1790"/>
    <w:rsid w:val="17C57205"/>
    <w:rsid w:val="17CB7B7E"/>
    <w:rsid w:val="17EE22B8"/>
    <w:rsid w:val="1804388A"/>
    <w:rsid w:val="18363828"/>
    <w:rsid w:val="184D6F90"/>
    <w:rsid w:val="184E4EB9"/>
    <w:rsid w:val="18B2778A"/>
    <w:rsid w:val="18CA0C5D"/>
    <w:rsid w:val="18DC0363"/>
    <w:rsid w:val="18DF7E53"/>
    <w:rsid w:val="18E13BCB"/>
    <w:rsid w:val="18F356AC"/>
    <w:rsid w:val="18F55316"/>
    <w:rsid w:val="19157D18"/>
    <w:rsid w:val="19197809"/>
    <w:rsid w:val="192A3C11"/>
    <w:rsid w:val="193D4A4E"/>
    <w:rsid w:val="19506F31"/>
    <w:rsid w:val="19632832"/>
    <w:rsid w:val="1980446A"/>
    <w:rsid w:val="199155F1"/>
    <w:rsid w:val="19923117"/>
    <w:rsid w:val="19CC6629"/>
    <w:rsid w:val="1A8B64E4"/>
    <w:rsid w:val="1AA44EB0"/>
    <w:rsid w:val="1AB07CF9"/>
    <w:rsid w:val="1AB86BAD"/>
    <w:rsid w:val="1AB91467"/>
    <w:rsid w:val="1B2E2262"/>
    <w:rsid w:val="1B433CF2"/>
    <w:rsid w:val="1B4548E5"/>
    <w:rsid w:val="1B530684"/>
    <w:rsid w:val="1B5543FC"/>
    <w:rsid w:val="1B662AAD"/>
    <w:rsid w:val="1B813443"/>
    <w:rsid w:val="1BA333BA"/>
    <w:rsid w:val="1BB77594"/>
    <w:rsid w:val="1BE91714"/>
    <w:rsid w:val="1BF16D13"/>
    <w:rsid w:val="1C254B19"/>
    <w:rsid w:val="1C590622"/>
    <w:rsid w:val="1C723D3B"/>
    <w:rsid w:val="1C75089A"/>
    <w:rsid w:val="1C796B0B"/>
    <w:rsid w:val="1CDA105D"/>
    <w:rsid w:val="1CDF6673"/>
    <w:rsid w:val="1D047E88"/>
    <w:rsid w:val="1D293D92"/>
    <w:rsid w:val="1D3F7112"/>
    <w:rsid w:val="1D6374C4"/>
    <w:rsid w:val="1D6D0123"/>
    <w:rsid w:val="1D7B88D0"/>
    <w:rsid w:val="1D7E1F67"/>
    <w:rsid w:val="1D813BCE"/>
    <w:rsid w:val="1DB35CDA"/>
    <w:rsid w:val="1DF61EC7"/>
    <w:rsid w:val="1E110AAE"/>
    <w:rsid w:val="1E122A78"/>
    <w:rsid w:val="1E5A24FE"/>
    <w:rsid w:val="1E661C21"/>
    <w:rsid w:val="1E7352C5"/>
    <w:rsid w:val="1E935C13"/>
    <w:rsid w:val="1EA2204E"/>
    <w:rsid w:val="1F05397B"/>
    <w:rsid w:val="1F282554"/>
    <w:rsid w:val="1F394DBF"/>
    <w:rsid w:val="1F901280"/>
    <w:rsid w:val="1FB37AAB"/>
    <w:rsid w:val="1FBB7EFD"/>
    <w:rsid w:val="1FF40688"/>
    <w:rsid w:val="20784E15"/>
    <w:rsid w:val="208E288A"/>
    <w:rsid w:val="20B87907"/>
    <w:rsid w:val="20FB77F4"/>
    <w:rsid w:val="211E4363"/>
    <w:rsid w:val="216366AF"/>
    <w:rsid w:val="216655B5"/>
    <w:rsid w:val="217F0425"/>
    <w:rsid w:val="217F21D3"/>
    <w:rsid w:val="218912A4"/>
    <w:rsid w:val="21983295"/>
    <w:rsid w:val="21A67760"/>
    <w:rsid w:val="21B32AC5"/>
    <w:rsid w:val="21C9791F"/>
    <w:rsid w:val="21E93AF0"/>
    <w:rsid w:val="22031056"/>
    <w:rsid w:val="22431F59"/>
    <w:rsid w:val="227B3199"/>
    <w:rsid w:val="229C0B63"/>
    <w:rsid w:val="22D60461"/>
    <w:rsid w:val="22D64075"/>
    <w:rsid w:val="22F15352"/>
    <w:rsid w:val="233116C2"/>
    <w:rsid w:val="234A55E5"/>
    <w:rsid w:val="2366796C"/>
    <w:rsid w:val="237D1A92"/>
    <w:rsid w:val="242F6132"/>
    <w:rsid w:val="244D3098"/>
    <w:rsid w:val="24565E52"/>
    <w:rsid w:val="2460453E"/>
    <w:rsid w:val="247E2C16"/>
    <w:rsid w:val="24843087"/>
    <w:rsid w:val="24C525F3"/>
    <w:rsid w:val="24E32A79"/>
    <w:rsid w:val="24E4247E"/>
    <w:rsid w:val="24FF2E0C"/>
    <w:rsid w:val="2504136D"/>
    <w:rsid w:val="251A293E"/>
    <w:rsid w:val="257714B6"/>
    <w:rsid w:val="26243349"/>
    <w:rsid w:val="265C2AE3"/>
    <w:rsid w:val="26647BE9"/>
    <w:rsid w:val="26A36964"/>
    <w:rsid w:val="26B4291F"/>
    <w:rsid w:val="26D34B52"/>
    <w:rsid w:val="26F251F5"/>
    <w:rsid w:val="26F86BA8"/>
    <w:rsid w:val="273870AC"/>
    <w:rsid w:val="273D46C2"/>
    <w:rsid w:val="27484CC0"/>
    <w:rsid w:val="27752D87"/>
    <w:rsid w:val="27800101"/>
    <w:rsid w:val="27B801ED"/>
    <w:rsid w:val="27D24E61"/>
    <w:rsid w:val="27E30AD5"/>
    <w:rsid w:val="27ED433A"/>
    <w:rsid w:val="2810627B"/>
    <w:rsid w:val="283006CB"/>
    <w:rsid w:val="285C501C"/>
    <w:rsid w:val="28846321"/>
    <w:rsid w:val="28A644E9"/>
    <w:rsid w:val="28AD7F1C"/>
    <w:rsid w:val="28F60FCD"/>
    <w:rsid w:val="2901409A"/>
    <w:rsid w:val="292A511A"/>
    <w:rsid w:val="29564161"/>
    <w:rsid w:val="29567CBD"/>
    <w:rsid w:val="29C83675"/>
    <w:rsid w:val="29DA4DE8"/>
    <w:rsid w:val="2A467D32"/>
    <w:rsid w:val="2A4915D0"/>
    <w:rsid w:val="2AC5334C"/>
    <w:rsid w:val="2B075D58"/>
    <w:rsid w:val="2B487ADA"/>
    <w:rsid w:val="2B6F5066"/>
    <w:rsid w:val="2BA56A96"/>
    <w:rsid w:val="2BBB7059"/>
    <w:rsid w:val="2BBC49FA"/>
    <w:rsid w:val="2C11611D"/>
    <w:rsid w:val="2C1300E8"/>
    <w:rsid w:val="2C5C1A8E"/>
    <w:rsid w:val="2C7F39CF"/>
    <w:rsid w:val="2C84570D"/>
    <w:rsid w:val="2C892B73"/>
    <w:rsid w:val="2C8C39F6"/>
    <w:rsid w:val="2C9D5C03"/>
    <w:rsid w:val="2CD23AFF"/>
    <w:rsid w:val="2CD63BB6"/>
    <w:rsid w:val="2D2B320F"/>
    <w:rsid w:val="2D5E1836"/>
    <w:rsid w:val="2D6C599B"/>
    <w:rsid w:val="2DBB4593"/>
    <w:rsid w:val="2DF32B7C"/>
    <w:rsid w:val="2E0917A2"/>
    <w:rsid w:val="2E3015C7"/>
    <w:rsid w:val="2E505623"/>
    <w:rsid w:val="2E89327A"/>
    <w:rsid w:val="2EA17C2D"/>
    <w:rsid w:val="2EBF4726"/>
    <w:rsid w:val="2EFD5FEE"/>
    <w:rsid w:val="2F25260C"/>
    <w:rsid w:val="2F4F4B1F"/>
    <w:rsid w:val="2F7548B8"/>
    <w:rsid w:val="2F877001"/>
    <w:rsid w:val="2F8D01B1"/>
    <w:rsid w:val="2FC42A39"/>
    <w:rsid w:val="2FCD43B1"/>
    <w:rsid w:val="2FD45DE0"/>
    <w:rsid w:val="3011493E"/>
    <w:rsid w:val="30202C68"/>
    <w:rsid w:val="303074BA"/>
    <w:rsid w:val="306F78B6"/>
    <w:rsid w:val="30933641"/>
    <w:rsid w:val="30AD0B0B"/>
    <w:rsid w:val="30BD0622"/>
    <w:rsid w:val="31012C04"/>
    <w:rsid w:val="31140B8A"/>
    <w:rsid w:val="316D029A"/>
    <w:rsid w:val="320C360F"/>
    <w:rsid w:val="32562ADC"/>
    <w:rsid w:val="32673F80"/>
    <w:rsid w:val="32923738"/>
    <w:rsid w:val="329A2D27"/>
    <w:rsid w:val="32A25D21"/>
    <w:rsid w:val="32E97DF4"/>
    <w:rsid w:val="33093FF2"/>
    <w:rsid w:val="334943EF"/>
    <w:rsid w:val="336716EF"/>
    <w:rsid w:val="3381002D"/>
    <w:rsid w:val="33896EE1"/>
    <w:rsid w:val="33F95E15"/>
    <w:rsid w:val="33FB393B"/>
    <w:rsid w:val="34346F57"/>
    <w:rsid w:val="34A00986"/>
    <w:rsid w:val="34B86184"/>
    <w:rsid w:val="34F767F8"/>
    <w:rsid w:val="353B411E"/>
    <w:rsid w:val="35443BF2"/>
    <w:rsid w:val="35867B7C"/>
    <w:rsid w:val="35C16E06"/>
    <w:rsid w:val="35DA7FBB"/>
    <w:rsid w:val="35E623C9"/>
    <w:rsid w:val="35F7233B"/>
    <w:rsid w:val="361A43FC"/>
    <w:rsid w:val="36213401"/>
    <w:rsid w:val="36760988"/>
    <w:rsid w:val="369260AD"/>
    <w:rsid w:val="36CE1023"/>
    <w:rsid w:val="36D32637"/>
    <w:rsid w:val="36E70D89"/>
    <w:rsid w:val="36EC644E"/>
    <w:rsid w:val="36EE59D9"/>
    <w:rsid w:val="371B60A2"/>
    <w:rsid w:val="372B09DB"/>
    <w:rsid w:val="37744822"/>
    <w:rsid w:val="380D1E8F"/>
    <w:rsid w:val="3848736B"/>
    <w:rsid w:val="387B504A"/>
    <w:rsid w:val="388C7258"/>
    <w:rsid w:val="38D973F8"/>
    <w:rsid w:val="391766F8"/>
    <w:rsid w:val="391C048E"/>
    <w:rsid w:val="393600FB"/>
    <w:rsid w:val="39461AFC"/>
    <w:rsid w:val="39513F48"/>
    <w:rsid w:val="396401AD"/>
    <w:rsid w:val="39693A3D"/>
    <w:rsid w:val="396957EB"/>
    <w:rsid w:val="397A3554"/>
    <w:rsid w:val="39AF5DEC"/>
    <w:rsid w:val="39B5458C"/>
    <w:rsid w:val="39E92488"/>
    <w:rsid w:val="3A045513"/>
    <w:rsid w:val="3A0465EA"/>
    <w:rsid w:val="3A0F59AF"/>
    <w:rsid w:val="3A1C77AC"/>
    <w:rsid w:val="3A3C2EFF"/>
    <w:rsid w:val="3A8C23C1"/>
    <w:rsid w:val="3A8D001E"/>
    <w:rsid w:val="3AD875AA"/>
    <w:rsid w:val="3ADC1876"/>
    <w:rsid w:val="3AFD61EB"/>
    <w:rsid w:val="3AFF6407"/>
    <w:rsid w:val="3B117EE8"/>
    <w:rsid w:val="3B1D66D8"/>
    <w:rsid w:val="3B2D6C1C"/>
    <w:rsid w:val="3B4D1D46"/>
    <w:rsid w:val="3B675D5A"/>
    <w:rsid w:val="3B9D177C"/>
    <w:rsid w:val="3BA26E67"/>
    <w:rsid w:val="3BA7084C"/>
    <w:rsid w:val="3BA945C4"/>
    <w:rsid w:val="3BD74C8E"/>
    <w:rsid w:val="3BFB09D0"/>
    <w:rsid w:val="3C030C6E"/>
    <w:rsid w:val="3C757998"/>
    <w:rsid w:val="3C8666B4"/>
    <w:rsid w:val="3C9F5780"/>
    <w:rsid w:val="3CA3737D"/>
    <w:rsid w:val="3CEE5230"/>
    <w:rsid w:val="3D344362"/>
    <w:rsid w:val="3D6C7658"/>
    <w:rsid w:val="3D70488E"/>
    <w:rsid w:val="3D7B1063"/>
    <w:rsid w:val="3D9B6278"/>
    <w:rsid w:val="3DFA1107"/>
    <w:rsid w:val="3E1026D9"/>
    <w:rsid w:val="3E1E24A7"/>
    <w:rsid w:val="3E2C5AE2"/>
    <w:rsid w:val="3E2F1ADA"/>
    <w:rsid w:val="3E38578C"/>
    <w:rsid w:val="3E743EFA"/>
    <w:rsid w:val="3E8135D7"/>
    <w:rsid w:val="3EC8190D"/>
    <w:rsid w:val="3EFBBBFE"/>
    <w:rsid w:val="3EFD0EAF"/>
    <w:rsid w:val="3F050B2F"/>
    <w:rsid w:val="3F5B39FD"/>
    <w:rsid w:val="3F6A7371"/>
    <w:rsid w:val="3F7D5B4C"/>
    <w:rsid w:val="3F7D7004"/>
    <w:rsid w:val="3FD05DB3"/>
    <w:rsid w:val="3FFA2B1E"/>
    <w:rsid w:val="3FFE9FB1"/>
    <w:rsid w:val="400651D9"/>
    <w:rsid w:val="400C19E0"/>
    <w:rsid w:val="400D3374"/>
    <w:rsid w:val="40493C80"/>
    <w:rsid w:val="407041AB"/>
    <w:rsid w:val="40A07FF6"/>
    <w:rsid w:val="40A67324"/>
    <w:rsid w:val="40A706EA"/>
    <w:rsid w:val="40C96B6F"/>
    <w:rsid w:val="412520DB"/>
    <w:rsid w:val="41263FC1"/>
    <w:rsid w:val="4194717D"/>
    <w:rsid w:val="421E344D"/>
    <w:rsid w:val="42764AD5"/>
    <w:rsid w:val="42A94EAA"/>
    <w:rsid w:val="42AD6748"/>
    <w:rsid w:val="42F97BDF"/>
    <w:rsid w:val="43212C92"/>
    <w:rsid w:val="436037BB"/>
    <w:rsid w:val="437234EE"/>
    <w:rsid w:val="43A055EF"/>
    <w:rsid w:val="43F33419"/>
    <w:rsid w:val="443C69E6"/>
    <w:rsid w:val="44496945"/>
    <w:rsid w:val="445B38B7"/>
    <w:rsid w:val="447B63D2"/>
    <w:rsid w:val="44B10046"/>
    <w:rsid w:val="451010CC"/>
    <w:rsid w:val="4519661B"/>
    <w:rsid w:val="452A22D2"/>
    <w:rsid w:val="453F0315"/>
    <w:rsid w:val="454315E6"/>
    <w:rsid w:val="456B4699"/>
    <w:rsid w:val="458F65D9"/>
    <w:rsid w:val="45E61FA9"/>
    <w:rsid w:val="45F97EF6"/>
    <w:rsid w:val="45FC6AE1"/>
    <w:rsid w:val="46250CEB"/>
    <w:rsid w:val="465B64BB"/>
    <w:rsid w:val="46603AD2"/>
    <w:rsid w:val="46971BE9"/>
    <w:rsid w:val="46A82238"/>
    <w:rsid w:val="46C10A14"/>
    <w:rsid w:val="46FD57C4"/>
    <w:rsid w:val="46FD7572"/>
    <w:rsid w:val="47134FE8"/>
    <w:rsid w:val="473C62ED"/>
    <w:rsid w:val="474E6DFD"/>
    <w:rsid w:val="4764581D"/>
    <w:rsid w:val="47757790"/>
    <w:rsid w:val="47797541"/>
    <w:rsid w:val="477B50DD"/>
    <w:rsid w:val="47B37FB4"/>
    <w:rsid w:val="480F755D"/>
    <w:rsid w:val="481728B6"/>
    <w:rsid w:val="481E3C44"/>
    <w:rsid w:val="48401E0D"/>
    <w:rsid w:val="486007F4"/>
    <w:rsid w:val="486B263E"/>
    <w:rsid w:val="488066AD"/>
    <w:rsid w:val="48D83A3F"/>
    <w:rsid w:val="491F5EC6"/>
    <w:rsid w:val="49AD34D2"/>
    <w:rsid w:val="49D40A5E"/>
    <w:rsid w:val="4A11580F"/>
    <w:rsid w:val="4A471230"/>
    <w:rsid w:val="4A530426"/>
    <w:rsid w:val="4A600544"/>
    <w:rsid w:val="4A642911"/>
    <w:rsid w:val="4A712751"/>
    <w:rsid w:val="4A7B35D0"/>
    <w:rsid w:val="4A993A56"/>
    <w:rsid w:val="4AA77F21"/>
    <w:rsid w:val="4AC540C9"/>
    <w:rsid w:val="4AF62C56"/>
    <w:rsid w:val="4B0709C0"/>
    <w:rsid w:val="4B211A58"/>
    <w:rsid w:val="4B310A5A"/>
    <w:rsid w:val="4B5262D1"/>
    <w:rsid w:val="4B6872C1"/>
    <w:rsid w:val="4B7047B7"/>
    <w:rsid w:val="4B7A5635"/>
    <w:rsid w:val="4BA44460"/>
    <w:rsid w:val="4BAF3531"/>
    <w:rsid w:val="4BB328F5"/>
    <w:rsid w:val="4BBE3774"/>
    <w:rsid w:val="4C0A69B9"/>
    <w:rsid w:val="4C146FF6"/>
    <w:rsid w:val="4C3EADD8"/>
    <w:rsid w:val="4C4C6FD2"/>
    <w:rsid w:val="4C4D4AF8"/>
    <w:rsid w:val="4C6164AB"/>
    <w:rsid w:val="4C742085"/>
    <w:rsid w:val="4CB80DF0"/>
    <w:rsid w:val="4CC44C05"/>
    <w:rsid w:val="4CD54ADB"/>
    <w:rsid w:val="4CD90E31"/>
    <w:rsid w:val="4D121B1C"/>
    <w:rsid w:val="4D1675E0"/>
    <w:rsid w:val="4D245859"/>
    <w:rsid w:val="4D3D2DBF"/>
    <w:rsid w:val="4D445EFB"/>
    <w:rsid w:val="4D522065"/>
    <w:rsid w:val="4D7560B4"/>
    <w:rsid w:val="4D7B7443"/>
    <w:rsid w:val="4D862070"/>
    <w:rsid w:val="4D8B3F74"/>
    <w:rsid w:val="4E724CEA"/>
    <w:rsid w:val="4EA41336"/>
    <w:rsid w:val="4EBA6F9A"/>
    <w:rsid w:val="4ED35788"/>
    <w:rsid w:val="4F0E056F"/>
    <w:rsid w:val="4F1B712F"/>
    <w:rsid w:val="4F2953A8"/>
    <w:rsid w:val="4F337FD5"/>
    <w:rsid w:val="4F527833"/>
    <w:rsid w:val="4FAA83BA"/>
    <w:rsid w:val="4FBC52A9"/>
    <w:rsid w:val="4FBF3A43"/>
    <w:rsid w:val="4FF20C57"/>
    <w:rsid w:val="4FFBAF81"/>
    <w:rsid w:val="500B0F52"/>
    <w:rsid w:val="505E4CA2"/>
    <w:rsid w:val="50604F46"/>
    <w:rsid w:val="51142088"/>
    <w:rsid w:val="51683FF2"/>
    <w:rsid w:val="51714DE5"/>
    <w:rsid w:val="51844B18"/>
    <w:rsid w:val="51B86EB8"/>
    <w:rsid w:val="51D56742"/>
    <w:rsid w:val="51F16B3D"/>
    <w:rsid w:val="51F6353C"/>
    <w:rsid w:val="522105B9"/>
    <w:rsid w:val="52367BFC"/>
    <w:rsid w:val="524D50C0"/>
    <w:rsid w:val="529865B3"/>
    <w:rsid w:val="52BC6534"/>
    <w:rsid w:val="52C2246A"/>
    <w:rsid w:val="52DA3931"/>
    <w:rsid w:val="52FE2736"/>
    <w:rsid w:val="53852DC9"/>
    <w:rsid w:val="538C5F06"/>
    <w:rsid w:val="53A70B0B"/>
    <w:rsid w:val="53A771E4"/>
    <w:rsid w:val="53AECF7C"/>
    <w:rsid w:val="53C953AC"/>
    <w:rsid w:val="53FA7313"/>
    <w:rsid w:val="543547EF"/>
    <w:rsid w:val="543C3DD0"/>
    <w:rsid w:val="54625C3B"/>
    <w:rsid w:val="54E3249D"/>
    <w:rsid w:val="54EA0EE6"/>
    <w:rsid w:val="55236D3E"/>
    <w:rsid w:val="553F7680"/>
    <w:rsid w:val="55452810"/>
    <w:rsid w:val="556C5FEF"/>
    <w:rsid w:val="559925E0"/>
    <w:rsid w:val="55BD2CEE"/>
    <w:rsid w:val="55EC7130"/>
    <w:rsid w:val="55FC3817"/>
    <w:rsid w:val="560B273A"/>
    <w:rsid w:val="56570A4D"/>
    <w:rsid w:val="566C73E3"/>
    <w:rsid w:val="56BD05EC"/>
    <w:rsid w:val="57261273"/>
    <w:rsid w:val="57B1418D"/>
    <w:rsid w:val="57E13CEA"/>
    <w:rsid w:val="57E427B4"/>
    <w:rsid w:val="5813309A"/>
    <w:rsid w:val="5814383A"/>
    <w:rsid w:val="585B412F"/>
    <w:rsid w:val="58856253"/>
    <w:rsid w:val="58922210"/>
    <w:rsid w:val="58931AE5"/>
    <w:rsid w:val="58EC434C"/>
    <w:rsid w:val="59253085"/>
    <w:rsid w:val="59484FC5"/>
    <w:rsid w:val="59594ADC"/>
    <w:rsid w:val="5967369D"/>
    <w:rsid w:val="59771A9C"/>
    <w:rsid w:val="599B50F5"/>
    <w:rsid w:val="59B30690"/>
    <w:rsid w:val="59DE3233"/>
    <w:rsid w:val="59E33148"/>
    <w:rsid w:val="5A025174"/>
    <w:rsid w:val="5A3C33AE"/>
    <w:rsid w:val="5A7B06D5"/>
    <w:rsid w:val="5A882506"/>
    <w:rsid w:val="5ABC17C7"/>
    <w:rsid w:val="5AC93EE4"/>
    <w:rsid w:val="5B13515F"/>
    <w:rsid w:val="5B1D22F1"/>
    <w:rsid w:val="5B280B1F"/>
    <w:rsid w:val="5B322BEC"/>
    <w:rsid w:val="5B386973"/>
    <w:rsid w:val="5B4B7CAA"/>
    <w:rsid w:val="5B597015"/>
    <w:rsid w:val="5B721E85"/>
    <w:rsid w:val="5BE064AE"/>
    <w:rsid w:val="5BEF0E40"/>
    <w:rsid w:val="5C090A3C"/>
    <w:rsid w:val="5C0F5926"/>
    <w:rsid w:val="5C361EDB"/>
    <w:rsid w:val="5C475B3F"/>
    <w:rsid w:val="5C855BE8"/>
    <w:rsid w:val="5CE2303B"/>
    <w:rsid w:val="5D0905C7"/>
    <w:rsid w:val="5D2B2C34"/>
    <w:rsid w:val="5D6121B1"/>
    <w:rsid w:val="5D635F29"/>
    <w:rsid w:val="5D645056"/>
    <w:rsid w:val="5D752101"/>
    <w:rsid w:val="5DB6074F"/>
    <w:rsid w:val="5DC30D1A"/>
    <w:rsid w:val="5DDA0125"/>
    <w:rsid w:val="5DF70858"/>
    <w:rsid w:val="5E225DE5"/>
    <w:rsid w:val="5E2A2EEB"/>
    <w:rsid w:val="5E2C0A11"/>
    <w:rsid w:val="5EE94251"/>
    <w:rsid w:val="5F0279C4"/>
    <w:rsid w:val="5F0B0627"/>
    <w:rsid w:val="5F0D593E"/>
    <w:rsid w:val="5F6B5569"/>
    <w:rsid w:val="5F70520A"/>
    <w:rsid w:val="5FB07420"/>
    <w:rsid w:val="5FC9520A"/>
    <w:rsid w:val="60553502"/>
    <w:rsid w:val="60557590"/>
    <w:rsid w:val="608925BA"/>
    <w:rsid w:val="60B30F76"/>
    <w:rsid w:val="60C34F31"/>
    <w:rsid w:val="60D970EA"/>
    <w:rsid w:val="60E05405"/>
    <w:rsid w:val="611B6B1B"/>
    <w:rsid w:val="614C4F26"/>
    <w:rsid w:val="61530FFC"/>
    <w:rsid w:val="617C1CB0"/>
    <w:rsid w:val="61834DEC"/>
    <w:rsid w:val="619C4100"/>
    <w:rsid w:val="61A15272"/>
    <w:rsid w:val="61BF770C"/>
    <w:rsid w:val="61F93300"/>
    <w:rsid w:val="62257C51"/>
    <w:rsid w:val="622C5484"/>
    <w:rsid w:val="623C4F9B"/>
    <w:rsid w:val="629923ED"/>
    <w:rsid w:val="62A00F55"/>
    <w:rsid w:val="62B114E5"/>
    <w:rsid w:val="62B7258F"/>
    <w:rsid w:val="63115115"/>
    <w:rsid w:val="6332277A"/>
    <w:rsid w:val="634D0E76"/>
    <w:rsid w:val="636D79EA"/>
    <w:rsid w:val="63CA720B"/>
    <w:rsid w:val="63D23E09"/>
    <w:rsid w:val="63D90A62"/>
    <w:rsid w:val="63EE0517"/>
    <w:rsid w:val="63FC080B"/>
    <w:rsid w:val="641F4B74"/>
    <w:rsid w:val="64252DAE"/>
    <w:rsid w:val="642E6B65"/>
    <w:rsid w:val="646A2293"/>
    <w:rsid w:val="647805F8"/>
    <w:rsid w:val="648D7D30"/>
    <w:rsid w:val="64A5151D"/>
    <w:rsid w:val="64AA75F3"/>
    <w:rsid w:val="64BF6A6C"/>
    <w:rsid w:val="64CE56C2"/>
    <w:rsid w:val="65163E96"/>
    <w:rsid w:val="6573239F"/>
    <w:rsid w:val="65847385"/>
    <w:rsid w:val="659375C8"/>
    <w:rsid w:val="659A2704"/>
    <w:rsid w:val="65E97882"/>
    <w:rsid w:val="65F71905"/>
    <w:rsid w:val="660779F4"/>
    <w:rsid w:val="660B53B0"/>
    <w:rsid w:val="66134265"/>
    <w:rsid w:val="66252916"/>
    <w:rsid w:val="66287D10"/>
    <w:rsid w:val="663761A5"/>
    <w:rsid w:val="6646288C"/>
    <w:rsid w:val="665B6338"/>
    <w:rsid w:val="66643715"/>
    <w:rsid w:val="666D6076"/>
    <w:rsid w:val="66A3360C"/>
    <w:rsid w:val="66C947F9"/>
    <w:rsid w:val="66DD4F9F"/>
    <w:rsid w:val="673152EA"/>
    <w:rsid w:val="675B1CB7"/>
    <w:rsid w:val="679B6249"/>
    <w:rsid w:val="67B66506"/>
    <w:rsid w:val="67F307F2"/>
    <w:rsid w:val="68046C31"/>
    <w:rsid w:val="68050FFC"/>
    <w:rsid w:val="68071BA7"/>
    <w:rsid w:val="68394457"/>
    <w:rsid w:val="685C23D0"/>
    <w:rsid w:val="68824074"/>
    <w:rsid w:val="68906041"/>
    <w:rsid w:val="68BE790A"/>
    <w:rsid w:val="68DB72BC"/>
    <w:rsid w:val="68FB795E"/>
    <w:rsid w:val="69262B12"/>
    <w:rsid w:val="692B2A01"/>
    <w:rsid w:val="69392234"/>
    <w:rsid w:val="695157D0"/>
    <w:rsid w:val="69562DE6"/>
    <w:rsid w:val="695F3939"/>
    <w:rsid w:val="697D5394"/>
    <w:rsid w:val="6A1A02B8"/>
    <w:rsid w:val="6A5031C7"/>
    <w:rsid w:val="6A8E0FBE"/>
    <w:rsid w:val="6A8F4802"/>
    <w:rsid w:val="6ADF6E0B"/>
    <w:rsid w:val="6B2B3DFF"/>
    <w:rsid w:val="6B2E4FF9"/>
    <w:rsid w:val="6B355616"/>
    <w:rsid w:val="6B4F2C4C"/>
    <w:rsid w:val="6B5315AD"/>
    <w:rsid w:val="6B645981"/>
    <w:rsid w:val="6B6A4927"/>
    <w:rsid w:val="6BCA3618"/>
    <w:rsid w:val="6BD20EAF"/>
    <w:rsid w:val="6BF40694"/>
    <w:rsid w:val="6C240F7A"/>
    <w:rsid w:val="6C4E44ED"/>
    <w:rsid w:val="6C7A6DEC"/>
    <w:rsid w:val="6C7C0DB6"/>
    <w:rsid w:val="6C9162A3"/>
    <w:rsid w:val="6C976C36"/>
    <w:rsid w:val="6C981CB3"/>
    <w:rsid w:val="6CD0169C"/>
    <w:rsid w:val="6CE23D5D"/>
    <w:rsid w:val="6D513FF0"/>
    <w:rsid w:val="6D8343C6"/>
    <w:rsid w:val="6DAF6F69"/>
    <w:rsid w:val="6E1A6AD8"/>
    <w:rsid w:val="6E55366C"/>
    <w:rsid w:val="6E87317F"/>
    <w:rsid w:val="6E881C94"/>
    <w:rsid w:val="6E8854AE"/>
    <w:rsid w:val="6EA07191"/>
    <w:rsid w:val="6EAC5256"/>
    <w:rsid w:val="6EB72579"/>
    <w:rsid w:val="6F3B6D06"/>
    <w:rsid w:val="6F457B85"/>
    <w:rsid w:val="6F5A4CB2"/>
    <w:rsid w:val="6F974FB6"/>
    <w:rsid w:val="6FC54949"/>
    <w:rsid w:val="701B2694"/>
    <w:rsid w:val="702E3539"/>
    <w:rsid w:val="70814BED"/>
    <w:rsid w:val="70F91053"/>
    <w:rsid w:val="7114328F"/>
    <w:rsid w:val="711A0B9D"/>
    <w:rsid w:val="715663FC"/>
    <w:rsid w:val="718E3BEA"/>
    <w:rsid w:val="71D4307A"/>
    <w:rsid w:val="724E4FA2"/>
    <w:rsid w:val="7266155D"/>
    <w:rsid w:val="73363E43"/>
    <w:rsid w:val="734819F2"/>
    <w:rsid w:val="735E7467"/>
    <w:rsid w:val="736FD456"/>
    <w:rsid w:val="739A7D73"/>
    <w:rsid w:val="73AD3F4B"/>
    <w:rsid w:val="73CC2623"/>
    <w:rsid w:val="74065409"/>
    <w:rsid w:val="7433305F"/>
    <w:rsid w:val="747B5DF7"/>
    <w:rsid w:val="74AE4C60"/>
    <w:rsid w:val="74B11819"/>
    <w:rsid w:val="74E1F321"/>
    <w:rsid w:val="74EC0AA3"/>
    <w:rsid w:val="750000AA"/>
    <w:rsid w:val="7521074C"/>
    <w:rsid w:val="753D12FE"/>
    <w:rsid w:val="757765BE"/>
    <w:rsid w:val="75824D9D"/>
    <w:rsid w:val="75C17839"/>
    <w:rsid w:val="75E17EDC"/>
    <w:rsid w:val="75E56258"/>
    <w:rsid w:val="762A53DF"/>
    <w:rsid w:val="76320737"/>
    <w:rsid w:val="763E6468"/>
    <w:rsid w:val="766C3C49"/>
    <w:rsid w:val="76856AB9"/>
    <w:rsid w:val="76CA6BC2"/>
    <w:rsid w:val="76EA1012"/>
    <w:rsid w:val="76F51E90"/>
    <w:rsid w:val="77026FD7"/>
    <w:rsid w:val="77277B70"/>
    <w:rsid w:val="772B0D41"/>
    <w:rsid w:val="773EA130"/>
    <w:rsid w:val="7759DDE7"/>
    <w:rsid w:val="77770AF7"/>
    <w:rsid w:val="77A85155"/>
    <w:rsid w:val="77EF68E0"/>
    <w:rsid w:val="77F35CA4"/>
    <w:rsid w:val="782A7918"/>
    <w:rsid w:val="7851759A"/>
    <w:rsid w:val="78727511"/>
    <w:rsid w:val="789456D9"/>
    <w:rsid w:val="78AF606F"/>
    <w:rsid w:val="78CA4A90"/>
    <w:rsid w:val="78D37FAF"/>
    <w:rsid w:val="78D930EC"/>
    <w:rsid w:val="78D97226"/>
    <w:rsid w:val="78DB3308"/>
    <w:rsid w:val="79017595"/>
    <w:rsid w:val="79134850"/>
    <w:rsid w:val="79167E9C"/>
    <w:rsid w:val="791717F8"/>
    <w:rsid w:val="79224A93"/>
    <w:rsid w:val="793B73B7"/>
    <w:rsid w:val="793B7903"/>
    <w:rsid w:val="794E5888"/>
    <w:rsid w:val="797F5A41"/>
    <w:rsid w:val="798D4602"/>
    <w:rsid w:val="79A441B1"/>
    <w:rsid w:val="79BA116F"/>
    <w:rsid w:val="79BE2849"/>
    <w:rsid w:val="79C773E8"/>
    <w:rsid w:val="79E955B1"/>
    <w:rsid w:val="79FF93B4"/>
    <w:rsid w:val="7A3A5144"/>
    <w:rsid w:val="7A540C7C"/>
    <w:rsid w:val="7A6D7F90"/>
    <w:rsid w:val="7A94551C"/>
    <w:rsid w:val="7AA433B1"/>
    <w:rsid w:val="7AAF2356"/>
    <w:rsid w:val="7AB569E5"/>
    <w:rsid w:val="7ABB1E58"/>
    <w:rsid w:val="7ACA3634"/>
    <w:rsid w:val="7AD111E1"/>
    <w:rsid w:val="7B5338D4"/>
    <w:rsid w:val="7B5F5F3F"/>
    <w:rsid w:val="7B6969A9"/>
    <w:rsid w:val="7B9C6D7F"/>
    <w:rsid w:val="7BF65106"/>
    <w:rsid w:val="7BFDC3EE"/>
    <w:rsid w:val="7BFF2E3F"/>
    <w:rsid w:val="7C0B3F04"/>
    <w:rsid w:val="7C23124E"/>
    <w:rsid w:val="7C466CEA"/>
    <w:rsid w:val="7C6B04FF"/>
    <w:rsid w:val="7C934347"/>
    <w:rsid w:val="7CBB76D8"/>
    <w:rsid w:val="7CE64029"/>
    <w:rsid w:val="7CED6AAB"/>
    <w:rsid w:val="7D3D633F"/>
    <w:rsid w:val="7D4274B2"/>
    <w:rsid w:val="7D891584"/>
    <w:rsid w:val="7DCB56F9"/>
    <w:rsid w:val="7DFCA0C2"/>
    <w:rsid w:val="7E1846B6"/>
    <w:rsid w:val="7E2A1A76"/>
    <w:rsid w:val="7EAB552B"/>
    <w:rsid w:val="7F062761"/>
    <w:rsid w:val="7F235645"/>
    <w:rsid w:val="7F8A15E4"/>
    <w:rsid w:val="7FAF2DF8"/>
    <w:rsid w:val="7FB507FC"/>
    <w:rsid w:val="7FEC7BA9"/>
    <w:rsid w:val="9DDC66EB"/>
    <w:rsid w:val="CBE46E8C"/>
    <w:rsid w:val="CE751493"/>
    <w:rsid w:val="DFACA3E7"/>
    <w:rsid w:val="EFDDC053"/>
    <w:rsid w:val="F39B3C29"/>
    <w:rsid w:val="F3DF8609"/>
    <w:rsid w:val="F9372A58"/>
    <w:rsid w:val="FCFCB9CF"/>
    <w:rsid w:val="FEBF29DE"/>
    <w:rsid w:val="FFBE4080"/>
    <w:rsid w:val="FFF2C929"/>
    <w:rsid w:val="FFF795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4294967295" w:semiHidden="0" w:name="heading 1"/>
    <w:lsdException w:qFormat="1" w:unhideWhenUsed="0" w:uiPriority="4294967295" w:semiHidden="0" w:name="heading 2"/>
    <w:lsdException w:qFormat="1" w:unhideWhenUsed="0" w:uiPriority="4294967295" w:semiHidden="0" w:name="heading 3"/>
    <w:lsdException w:qFormat="1" w:unhideWhenUsed="0" w:uiPriority="4294967295" w:semiHidden="0" w:name="heading 4"/>
    <w:lsdException w:qFormat="1" w:unhideWhenUsed="0" w:uiPriority="4294967295" w:semiHidden="0" w:name="heading 5"/>
    <w:lsdException w:qFormat="1" w:unhideWhenUsed="0" w:uiPriority="4294967295" w:semiHidden="0" w:name="heading 6"/>
    <w:lsdException w:qFormat="1" w:unhideWhenUsed="0" w:uiPriority="4294967295" w:semiHidden="0" w:name="heading 7"/>
    <w:lsdException w:qFormat="1" w:unhideWhenUsed="0" w:uiPriority="4294967295" w:semiHidden="0" w:name="heading 8"/>
    <w:lsdException w:qFormat="1" w:unhideWhenUsed="0" w:uiPriority="4294967295" w:semiHidden="0" w:name="heading 9"/>
    <w:lsdException w:unhideWhenUsed="0" w:uiPriority="4294967295" w:semiHidden="0" w:name="index 1"/>
    <w:lsdException w:unhideWhenUsed="0" w:uiPriority="4294967295" w:semiHidden="0" w:name="index 2"/>
    <w:lsdException w:unhideWhenUsed="0" w:uiPriority="4294967295" w:semiHidden="0" w:name="index 3"/>
    <w:lsdException w:unhideWhenUsed="0" w:uiPriority="4294967295" w:semiHidden="0" w:name="index 4"/>
    <w:lsdException w:unhideWhenUsed="0" w:uiPriority="4294967295" w:semiHidden="0" w:name="index 5"/>
    <w:lsdException w:unhideWhenUsed="0" w:uiPriority="4294967295" w:semiHidden="0" w:name="index 6"/>
    <w:lsdException w:unhideWhenUsed="0" w:uiPriority="4294967295" w:semiHidden="0" w:name="index 7"/>
    <w:lsdException w:unhideWhenUsed="0" w:uiPriority="4294967295" w:semiHidden="0" w:name="index 8"/>
    <w:lsdException w:unhideWhenUsed="0" w:uiPriority="4294967295" w:semiHidden="0" w:name="index 9"/>
    <w:lsdException w:qFormat="1" w:unhideWhenUsed="0" w:uiPriority="39" w:semiHidden="0" w:name="toc 1"/>
    <w:lsdException w:unhideWhenUsed="0" w:uiPriority="4294967295" w:semiHidden="0" w:name="toc 2"/>
    <w:lsdException w:unhideWhenUsed="0" w:uiPriority="4294967295" w:semiHidden="0" w:name="toc 3"/>
    <w:lsdException w:unhideWhenUsed="0" w:uiPriority="4294967295" w:semiHidden="0" w:name="toc 4"/>
    <w:lsdException w:unhideWhenUsed="0" w:uiPriority="4294967295" w:semiHidden="0" w:name="toc 5"/>
    <w:lsdException w:unhideWhenUsed="0" w:uiPriority="4294967295" w:semiHidden="0" w:name="toc 6"/>
    <w:lsdException w:unhideWhenUsed="0" w:uiPriority="4294967295" w:semiHidden="0" w:name="toc 7"/>
    <w:lsdException w:unhideWhenUsed="0" w:uiPriority="4294967295" w:semiHidden="0" w:name="toc 8"/>
    <w:lsdException w:unhideWhenUsed="0" w:uiPriority="4294967295" w:semiHidden="0" w:name="toc 9"/>
    <w:lsdException w:qFormat="1" w:unhideWhenUsed="0" w:uiPriority="0" w:semiHidden="0" w:name="Normal Indent"/>
    <w:lsdException w:unhideWhenUsed="0" w:uiPriority="4294967295" w:semiHidden="0" w:name="footnote text"/>
    <w:lsdException w:qFormat="1" w:unhideWhenUsed="0" w:uiPriority="4294967295" w:semiHidden="0" w:name="annotation text"/>
    <w:lsdException w:qFormat="1" w:unhideWhenUsed="0" w:uiPriority="4294967295" w:semiHidden="0" w:name="header"/>
    <w:lsdException w:qFormat="1" w:unhideWhenUsed="0" w:uiPriority="4294967295" w:semiHidden="0" w:name="footer"/>
    <w:lsdException w:unhideWhenUsed="0" w:uiPriority="4294967295" w:semiHidden="0" w:name="index heading"/>
    <w:lsdException w:unhideWhenUsed="0" w:uiPriority="4294967295" w:semiHidden="0" w:name="caption"/>
    <w:lsdException w:unhideWhenUsed="0" w:uiPriority="4294967295" w:semiHidden="0" w:name="table of figures"/>
    <w:lsdException w:unhideWhenUsed="0" w:uiPriority="4294967295" w:semiHidden="0" w:name="envelope address"/>
    <w:lsdException w:unhideWhenUsed="0" w:uiPriority="4294967295" w:semiHidden="0" w:name="envelope return"/>
    <w:lsdException w:unhideWhenUsed="0" w:uiPriority="4294967295" w:semiHidden="0" w:name="footnote reference"/>
    <w:lsdException w:unhideWhenUsed="0" w:uiPriority="4294967295" w:semiHidden="0" w:name="annotation reference"/>
    <w:lsdException w:unhideWhenUsed="0" w:uiPriority="4294967295" w:semiHidden="0" w:name="line number"/>
    <w:lsdException w:unhideWhenUsed="0" w:uiPriority="4294967295" w:semiHidden="0" w:name="page number"/>
    <w:lsdException w:unhideWhenUsed="0" w:uiPriority="4294967295" w:semiHidden="0" w:name="endnote reference"/>
    <w:lsdException w:unhideWhenUsed="0" w:uiPriority="4294967295" w:semiHidden="0" w:name="endnote text"/>
    <w:lsdException w:unhideWhenUsed="0" w:uiPriority="4294967295" w:semiHidden="0" w:name="table of authorities"/>
    <w:lsdException w:unhideWhenUsed="0" w:uiPriority="4294967295" w:semiHidden="0" w:name="macro"/>
    <w:lsdException w:unhideWhenUsed="0" w:uiPriority="4294967295" w:semiHidden="0" w:name="toa heading"/>
    <w:lsdException w:unhideWhenUsed="0" w:uiPriority="4294967295" w:semiHidden="0" w:name="List"/>
    <w:lsdException w:unhideWhenUsed="0" w:uiPriority="4294967295" w:semiHidden="0" w:name="List Bullet"/>
    <w:lsdException w:unhideWhenUsed="0" w:uiPriority="4294967295" w:semiHidden="0" w:name="List Number"/>
    <w:lsdException w:unhideWhenUsed="0" w:uiPriority="4294967295" w:semiHidden="0" w:name="List 2"/>
    <w:lsdException w:unhideWhenUsed="0" w:uiPriority="4294967295" w:semiHidden="0" w:name="List 3"/>
    <w:lsdException w:unhideWhenUsed="0" w:uiPriority="4294967295" w:semiHidden="0" w:name="List 4"/>
    <w:lsdException w:unhideWhenUsed="0" w:uiPriority="4294967295" w:semiHidden="0" w:name="List 5"/>
    <w:lsdException w:unhideWhenUsed="0" w:uiPriority="4294967295" w:semiHidden="0" w:name="List Bullet 2"/>
    <w:lsdException w:unhideWhenUsed="0" w:uiPriority="4294967295" w:semiHidden="0" w:name="List Bullet 3"/>
    <w:lsdException w:unhideWhenUsed="0" w:uiPriority="4294967295" w:semiHidden="0" w:name="List Bullet 4"/>
    <w:lsdException w:unhideWhenUsed="0" w:uiPriority="4294967295" w:semiHidden="0" w:name="List Bullet 5"/>
    <w:lsdException w:unhideWhenUsed="0" w:uiPriority="4294967295" w:semiHidden="0" w:name="List Number 2"/>
    <w:lsdException w:unhideWhenUsed="0" w:uiPriority="4294967295" w:semiHidden="0" w:name="List Number 3"/>
    <w:lsdException w:unhideWhenUsed="0" w:uiPriority="4294967295" w:semiHidden="0" w:name="List Number 4"/>
    <w:lsdException w:unhideWhenUsed="0" w:uiPriority="4294967295" w:semiHidden="0" w:name="List Number 5"/>
    <w:lsdException w:unhideWhenUsed="0" w:uiPriority="4294967295" w:semiHidden="0" w:name="Title"/>
    <w:lsdException w:unhideWhenUsed="0" w:uiPriority="4294967295" w:semiHidden="0" w:name="Closing"/>
    <w:lsdException w:unhideWhenUsed="0" w:uiPriority="4294967295" w:semiHidden="0" w:name="Signature"/>
    <w:lsdException w:qFormat="1" w:unhideWhenUsed="0" w:uiPriority="0" w:name="Default Paragraph Font"/>
    <w:lsdException w:qFormat="1" w:uiPriority="99" w:semiHidden="0" w:name="Body Text"/>
    <w:lsdException w:unhideWhenUsed="0" w:uiPriority="4294967295" w:semiHidden="0" w:name="Body Text Indent"/>
    <w:lsdException w:unhideWhenUsed="0" w:uiPriority="4294967295" w:semiHidden="0" w:name="List Continue"/>
    <w:lsdException w:unhideWhenUsed="0" w:uiPriority="4294967295" w:semiHidden="0" w:name="List Continue 2"/>
    <w:lsdException w:unhideWhenUsed="0" w:uiPriority="4294967295" w:semiHidden="0" w:name="List Continue 3"/>
    <w:lsdException w:unhideWhenUsed="0" w:uiPriority="4294967295" w:semiHidden="0" w:name="List Continue 4"/>
    <w:lsdException w:unhideWhenUsed="0" w:uiPriority="4294967295" w:semiHidden="0" w:name="List Continue 5"/>
    <w:lsdException w:unhideWhenUsed="0" w:uiPriority="4294967295" w:semiHidden="0" w:name="Message Header"/>
    <w:lsdException w:unhideWhenUsed="0" w:uiPriority="4294967295" w:semiHidden="0" w:name="Subtitle"/>
    <w:lsdException w:unhideWhenUsed="0" w:uiPriority="4294967295" w:semiHidden="0" w:name="Salutation"/>
    <w:lsdException w:unhideWhenUsed="0" w:uiPriority="4294967295" w:semiHidden="0" w:name="Date"/>
    <w:lsdException w:unhideWhenUsed="0" w:uiPriority="4294967295" w:semiHidden="0" w:name="Body Text First Indent"/>
    <w:lsdException w:unhideWhenUsed="0" w:uiPriority="4294967295" w:semiHidden="0" w:name="Body Text First Indent 2"/>
    <w:lsdException w:unhideWhenUsed="0" w:uiPriority="4294967295" w:semiHidden="0" w:name="Note Heading"/>
    <w:lsdException w:unhideWhenUsed="0" w:uiPriority="4294967295" w:semiHidden="0" w:name="Body Text 2"/>
    <w:lsdException w:unhideWhenUsed="0" w:uiPriority="4294967295" w:semiHidden="0" w:name="Body Text 3"/>
    <w:lsdException w:qFormat="1" w:unhideWhenUsed="0" w:uiPriority="0" w:semiHidden="0" w:name="Body Text Indent 2"/>
    <w:lsdException w:unhideWhenUsed="0" w:uiPriority="4294967295" w:semiHidden="0" w:name="Body Text Indent 3"/>
    <w:lsdException w:unhideWhenUsed="0" w:uiPriority="4294967295" w:semiHidden="0" w:name="Block Text"/>
    <w:lsdException w:unhideWhenUsed="0" w:uiPriority="4294967295" w:semiHidden="0" w:name="Hyperlink"/>
    <w:lsdException w:unhideWhenUsed="0" w:uiPriority="4294967295" w:semiHidden="0" w:name="FollowedHyperlink"/>
    <w:lsdException w:qFormat="1" w:unhideWhenUsed="0" w:uiPriority="4294967295" w:semiHidden="0" w:name="Strong"/>
    <w:lsdException w:unhideWhenUsed="0" w:uiPriority="4294967295" w:semiHidden="0" w:name="Emphasis"/>
    <w:lsdException w:unhideWhenUsed="0" w:uiPriority="4294967295" w:semiHidden="0" w:name="Document Map"/>
    <w:lsdException w:qFormat="1" w:unhideWhenUsed="0" w:uiPriority="0" w:semiHidden="0" w:name="Plain Text"/>
    <w:lsdException w:unhideWhenUsed="0" w:uiPriority="4294967295" w:semiHidden="0" w:name="E-mail Signature"/>
    <w:lsdException w:unhideWhenUsed="0" w:uiPriority="4294967295" w:semiHidden="0" w:name="Normal (Web)"/>
    <w:lsdException w:unhideWhenUsed="0" w:uiPriority="4294967295" w:semiHidden="0" w:name="HTML Acronym"/>
    <w:lsdException w:unhideWhenUsed="0" w:uiPriority="4294967295" w:semiHidden="0" w:name="HTML Address"/>
    <w:lsdException w:unhideWhenUsed="0" w:uiPriority="4294967295" w:semiHidden="0" w:name="HTML Cite"/>
    <w:lsdException w:unhideWhenUsed="0" w:uiPriority="4294967295" w:semiHidden="0" w:name="HTML Code"/>
    <w:lsdException w:unhideWhenUsed="0" w:uiPriority="4294967295" w:semiHidden="0" w:name="HTML Definition"/>
    <w:lsdException w:unhideWhenUsed="0" w:uiPriority="4294967295" w:semiHidden="0" w:name="HTML Keyboard"/>
    <w:lsdException w:unhideWhenUsed="0" w:uiPriority="4294967295" w:semiHidden="0" w:name="HTML Preformatted"/>
    <w:lsdException w:unhideWhenUsed="0" w:uiPriority="4294967295" w:semiHidden="0" w:name="HTML Sample"/>
    <w:lsdException w:unhideWhenUsed="0" w:uiPriority="4294967295" w:semiHidden="0" w:name="HTML Typewriter"/>
    <w:lsdException w:unhideWhenUsed="0" w:uiPriority="4294967295" w:semiHidden="0" w:name="HTML Variable"/>
    <w:lsdException w:qFormat="1" w:unhideWhenUsed="0" w:uiPriority="4294967295" w:semiHidden="0" w:name="Normal Table"/>
    <w:lsdException w:unhideWhenUsed="0" w:uiPriority="4294967295" w:semiHidden="0" w:name="annotation subject"/>
    <w:lsdException w:qFormat="1" w:unhideWhenUsed="0" w:uiPriority="0" w:name="No List"/>
    <w:lsdException w:unhideWhenUsed="0" w:uiPriority="4294967295" w:semiHidden="0" w:name="Table Simple 1"/>
    <w:lsdException w:unhideWhenUsed="0" w:uiPriority="4294967295" w:semiHidden="0" w:name="Table Simple 2"/>
    <w:lsdException w:unhideWhenUsed="0" w:uiPriority="4294967295" w:semiHidden="0" w:name="Table Simple 3"/>
    <w:lsdException w:unhideWhenUsed="0" w:uiPriority="4294967295" w:semiHidden="0" w:name="Table Classic 1"/>
    <w:lsdException w:unhideWhenUsed="0" w:uiPriority="4294967295" w:semiHidden="0" w:name="Table Classic 2"/>
    <w:lsdException w:unhideWhenUsed="0" w:uiPriority="4294967295" w:semiHidden="0" w:name="Table Classic 3"/>
    <w:lsdException w:unhideWhenUsed="0" w:uiPriority="4294967295" w:semiHidden="0" w:name="Table Classic 4"/>
    <w:lsdException w:unhideWhenUsed="0" w:uiPriority="4294967295" w:semiHidden="0" w:name="Table Colorful 1"/>
    <w:lsdException w:unhideWhenUsed="0" w:uiPriority="4294967295" w:semiHidden="0" w:name="Table Colorful 2"/>
    <w:lsdException w:unhideWhenUsed="0" w:uiPriority="4294967295" w:semiHidden="0" w:name="Table Colorful 3"/>
    <w:lsdException w:unhideWhenUsed="0" w:uiPriority="4294967295" w:semiHidden="0" w:name="Table Columns 1"/>
    <w:lsdException w:unhideWhenUsed="0" w:uiPriority="4294967295" w:semiHidden="0" w:name="Table Columns 2"/>
    <w:lsdException w:unhideWhenUsed="0" w:uiPriority="4294967295" w:semiHidden="0" w:name="Table Columns 3"/>
    <w:lsdException w:unhideWhenUsed="0" w:uiPriority="4294967295" w:semiHidden="0" w:name="Table Columns 4"/>
    <w:lsdException w:unhideWhenUsed="0" w:uiPriority="4294967295" w:semiHidden="0" w:name="Table Columns 5"/>
    <w:lsdException w:unhideWhenUsed="0" w:uiPriority="4294967295" w:semiHidden="0" w:name="Table Grid 1"/>
    <w:lsdException w:unhideWhenUsed="0" w:uiPriority="4294967295" w:semiHidden="0" w:name="Table Grid 2"/>
    <w:lsdException w:unhideWhenUsed="0" w:uiPriority="4294967295" w:semiHidden="0" w:name="Table Grid 3"/>
    <w:lsdException w:unhideWhenUsed="0" w:uiPriority="4294967295" w:semiHidden="0" w:name="Table Grid 4"/>
    <w:lsdException w:unhideWhenUsed="0" w:uiPriority="4294967295" w:semiHidden="0" w:name="Table Grid 5"/>
    <w:lsdException w:unhideWhenUsed="0" w:uiPriority="4294967295" w:semiHidden="0" w:name="Table Grid 6"/>
    <w:lsdException w:unhideWhenUsed="0" w:uiPriority="4294967295" w:semiHidden="0" w:name="Table Grid 7"/>
    <w:lsdException w:unhideWhenUsed="0" w:uiPriority="4294967295" w:semiHidden="0" w:name="Table Grid 8"/>
    <w:lsdException w:unhideWhenUsed="0" w:uiPriority="4294967295" w:semiHidden="0" w:name="Table List 1"/>
    <w:lsdException w:unhideWhenUsed="0" w:uiPriority="4294967295" w:semiHidden="0" w:name="Table List 2"/>
    <w:lsdException w:unhideWhenUsed="0" w:uiPriority="4294967295" w:semiHidden="0" w:name="Table List 3"/>
    <w:lsdException w:unhideWhenUsed="0" w:uiPriority="4294967295" w:semiHidden="0" w:name="Table List 4"/>
    <w:lsdException w:unhideWhenUsed="0" w:uiPriority="4294967295" w:semiHidden="0" w:name="Table List 5"/>
    <w:lsdException w:unhideWhenUsed="0" w:uiPriority="4294967295" w:semiHidden="0" w:name="Table List 6"/>
    <w:lsdException w:unhideWhenUsed="0" w:uiPriority="4294967295" w:semiHidden="0" w:name="Table List 7"/>
    <w:lsdException w:unhideWhenUsed="0" w:uiPriority="4294967295" w:semiHidden="0" w:name="Table List 8"/>
    <w:lsdException w:unhideWhenUsed="0" w:uiPriority="4294967295" w:semiHidden="0" w:name="Table 3D effects 1"/>
    <w:lsdException w:unhideWhenUsed="0" w:uiPriority="4294967295" w:semiHidden="0" w:name="Table 3D effects 2"/>
    <w:lsdException w:unhideWhenUsed="0" w:uiPriority="4294967295" w:semiHidden="0" w:name="Table 3D effects 3"/>
    <w:lsdException w:unhideWhenUsed="0" w:uiPriority="4294967295" w:semiHidden="0" w:name="Table Contemporary"/>
    <w:lsdException w:unhideWhenUsed="0" w:uiPriority="4294967295" w:semiHidden="0" w:name="Table Elegant"/>
    <w:lsdException w:unhideWhenUsed="0" w:uiPriority="4294967295" w:semiHidden="0" w:name="Table Professional"/>
    <w:lsdException w:unhideWhenUsed="0" w:uiPriority="4294967295" w:semiHidden="0" w:name="Table Subtle 1"/>
    <w:lsdException w:unhideWhenUsed="0" w:uiPriority="4294967295" w:semiHidden="0" w:name="Table Subtle 2"/>
    <w:lsdException w:unhideWhenUsed="0" w:uiPriority="4294967295" w:semiHidden="0" w:name="Table Web 1"/>
    <w:lsdException w:unhideWhenUsed="0" w:uiPriority="4294967295" w:semiHidden="0" w:name="Table Web 2"/>
    <w:lsdException w:unhideWhenUsed="0" w:uiPriority="4294967295" w:semiHidden="0" w:name="Table Web 3"/>
    <w:lsdException w:unhideWhenUsed="0" w:uiPriority="4294967295" w:semiHidden="0" w:name="Balloon Text"/>
    <w:lsdException w:qFormat="1" w:unhideWhenUsed="0" w:uiPriority="0" w:semiHidden="0" w:name="Table Grid"/>
    <w:lsdException w:unhideWhenUsed="0" w:uiPriority="4294967295"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21"/>
    <w:qFormat/>
    <w:uiPriority w:val="0"/>
    <w:pPr>
      <w:spacing w:before="120" w:after="240"/>
      <w:jc w:val="both"/>
    </w:pPr>
    <w:rPr>
      <w:rFonts w:asciiTheme="minorHAnsi" w:hAnsiTheme="minorHAnsi" w:eastAsiaTheme="minorEastAsia" w:cstheme="minorBidi"/>
      <w:sz w:val="22"/>
      <w:szCs w:val="22"/>
      <w:lang w:val="en-US" w:eastAsia="en-US" w:bidi="ar-SA"/>
    </w:rPr>
  </w:style>
  <w:style w:type="paragraph" w:styleId="3">
    <w:name w:val="heading 1"/>
    <w:basedOn w:val="1"/>
    <w:next w:val="1"/>
    <w:qFormat/>
    <w:uiPriority w:val="4294967295"/>
    <w:pPr>
      <w:keepNext/>
      <w:keepLines/>
      <w:numPr>
        <w:ilvl w:val="0"/>
        <w:numId w:val="1"/>
      </w:numPr>
      <w:spacing w:before="340" w:beforeLines="0" w:beforeAutospacing="0" w:after="330" w:afterLines="0" w:afterAutospacing="0" w:line="576" w:lineRule="auto"/>
      <w:ind w:left="0"/>
      <w:outlineLvl w:val="0"/>
    </w:pPr>
    <w:rPr>
      <w:b/>
      <w:kern w:val="44"/>
      <w:sz w:val="44"/>
    </w:rPr>
  </w:style>
  <w:style w:type="paragraph" w:styleId="4">
    <w:name w:val="heading 2"/>
    <w:basedOn w:val="1"/>
    <w:next w:val="1"/>
    <w:qFormat/>
    <w:uiPriority w:val="4294967295"/>
    <w:pPr>
      <w:keepNext/>
      <w:keepLines/>
      <w:numPr>
        <w:ilvl w:val="1"/>
        <w:numId w:val="1"/>
      </w:numPr>
      <w:spacing w:before="260" w:beforeLines="0" w:beforeAutospacing="0" w:after="260" w:afterLines="0" w:afterAutospacing="0" w:line="413" w:lineRule="auto"/>
      <w:ind w:left="0"/>
      <w:outlineLvl w:val="1"/>
    </w:pPr>
    <w:rPr>
      <w:rFonts w:ascii="Arial" w:hAnsi="Arial" w:eastAsia="黑体"/>
      <w:b/>
      <w:sz w:val="32"/>
    </w:rPr>
  </w:style>
  <w:style w:type="paragraph" w:styleId="5">
    <w:name w:val="heading 3"/>
    <w:basedOn w:val="1"/>
    <w:next w:val="1"/>
    <w:qFormat/>
    <w:uiPriority w:val="4294967295"/>
    <w:pPr>
      <w:keepNext/>
      <w:keepLines/>
      <w:numPr>
        <w:ilvl w:val="2"/>
        <w:numId w:val="1"/>
      </w:numPr>
      <w:spacing w:before="260" w:beforeLines="0" w:beforeAutospacing="0" w:after="260" w:afterLines="0" w:afterAutospacing="0" w:line="413" w:lineRule="auto"/>
      <w:ind w:left="0" w:firstLine="400"/>
      <w:outlineLvl w:val="2"/>
    </w:pPr>
    <w:rPr>
      <w:b/>
      <w:sz w:val="32"/>
    </w:rPr>
  </w:style>
  <w:style w:type="paragraph" w:styleId="6">
    <w:name w:val="heading 4"/>
    <w:basedOn w:val="1"/>
    <w:next w:val="1"/>
    <w:qFormat/>
    <w:uiPriority w:val="4294967295"/>
    <w:pPr>
      <w:keepNext/>
      <w:keepLines/>
      <w:numPr>
        <w:ilvl w:val="3"/>
        <w:numId w:val="1"/>
      </w:numPr>
      <w:spacing w:before="280" w:beforeLines="0" w:beforeAutospacing="0" w:after="290" w:afterLines="0" w:afterAutospacing="0" w:line="372" w:lineRule="auto"/>
      <w:ind w:left="0" w:firstLine="402"/>
      <w:outlineLvl w:val="3"/>
    </w:pPr>
    <w:rPr>
      <w:rFonts w:ascii="Arial" w:hAnsi="Arial" w:eastAsia="黑体"/>
      <w:b/>
      <w:sz w:val="28"/>
    </w:rPr>
  </w:style>
  <w:style w:type="paragraph" w:styleId="7">
    <w:name w:val="heading 5"/>
    <w:basedOn w:val="1"/>
    <w:next w:val="1"/>
    <w:qFormat/>
    <w:uiPriority w:val="4294967295"/>
    <w:pPr>
      <w:keepNext/>
      <w:keepLines/>
      <w:numPr>
        <w:ilvl w:val="4"/>
        <w:numId w:val="1"/>
      </w:numPr>
      <w:spacing w:before="280" w:beforeLines="0" w:beforeAutospacing="0" w:after="290" w:afterLines="0" w:afterAutospacing="0" w:line="372" w:lineRule="auto"/>
      <w:ind w:left="0" w:firstLine="402"/>
      <w:outlineLvl w:val="4"/>
    </w:pPr>
    <w:rPr>
      <w:b/>
      <w:sz w:val="28"/>
    </w:rPr>
  </w:style>
  <w:style w:type="paragraph" w:styleId="8">
    <w:name w:val="heading 6"/>
    <w:basedOn w:val="1"/>
    <w:next w:val="1"/>
    <w:qFormat/>
    <w:uiPriority w:val="4294967295"/>
    <w:pPr>
      <w:keepNext/>
      <w:keepLines/>
      <w:numPr>
        <w:ilvl w:val="5"/>
        <w:numId w:val="1"/>
      </w:numPr>
      <w:spacing w:before="240" w:beforeLines="0" w:beforeAutospacing="0" w:after="64" w:afterLines="0" w:afterAutospacing="0" w:line="317" w:lineRule="auto"/>
      <w:ind w:left="0" w:firstLine="402"/>
      <w:outlineLvl w:val="5"/>
    </w:pPr>
    <w:rPr>
      <w:rFonts w:ascii="Arial" w:hAnsi="Arial" w:eastAsia="黑体"/>
      <w:b/>
      <w:sz w:val="24"/>
    </w:rPr>
  </w:style>
  <w:style w:type="paragraph" w:styleId="9">
    <w:name w:val="heading 7"/>
    <w:basedOn w:val="1"/>
    <w:next w:val="1"/>
    <w:qFormat/>
    <w:uiPriority w:val="4294967295"/>
    <w:pPr>
      <w:keepNext/>
      <w:keepLines/>
      <w:numPr>
        <w:ilvl w:val="6"/>
        <w:numId w:val="1"/>
      </w:numPr>
      <w:spacing w:before="240" w:beforeLines="0" w:beforeAutospacing="0" w:after="64" w:afterLines="0" w:afterAutospacing="0" w:line="317" w:lineRule="auto"/>
      <w:ind w:left="0" w:firstLine="402"/>
      <w:outlineLvl w:val="6"/>
    </w:pPr>
    <w:rPr>
      <w:b/>
      <w:sz w:val="24"/>
    </w:rPr>
  </w:style>
  <w:style w:type="paragraph" w:styleId="10">
    <w:name w:val="heading 8"/>
    <w:basedOn w:val="1"/>
    <w:next w:val="1"/>
    <w:qFormat/>
    <w:uiPriority w:val="4294967295"/>
    <w:pPr>
      <w:keepNext/>
      <w:keepLines/>
      <w:numPr>
        <w:ilvl w:val="7"/>
        <w:numId w:val="1"/>
      </w:numPr>
      <w:spacing w:before="240" w:beforeLines="0" w:beforeAutospacing="0" w:after="64" w:afterLines="0" w:afterAutospacing="0" w:line="317" w:lineRule="auto"/>
      <w:ind w:left="0" w:firstLine="402"/>
      <w:outlineLvl w:val="7"/>
    </w:pPr>
    <w:rPr>
      <w:rFonts w:ascii="Arial" w:hAnsi="Arial" w:eastAsia="黑体"/>
      <w:sz w:val="24"/>
    </w:rPr>
  </w:style>
  <w:style w:type="paragraph" w:styleId="11">
    <w:name w:val="heading 9"/>
    <w:basedOn w:val="1"/>
    <w:next w:val="1"/>
    <w:qFormat/>
    <w:uiPriority w:val="4294967295"/>
    <w:pPr>
      <w:keepNext/>
      <w:keepLines/>
      <w:numPr>
        <w:ilvl w:val="8"/>
        <w:numId w:val="1"/>
      </w:numPr>
      <w:spacing w:before="240" w:beforeLines="0" w:beforeAutospacing="0" w:after="64" w:afterLines="0" w:afterAutospacing="0" w:line="317" w:lineRule="auto"/>
      <w:ind w:left="0" w:firstLine="402"/>
      <w:outlineLvl w:val="8"/>
    </w:pPr>
    <w:rPr>
      <w:rFonts w:ascii="Arial" w:hAnsi="Arial" w:eastAsia="黑体"/>
      <w:sz w:val="21"/>
    </w:rPr>
  </w:style>
  <w:style w:type="character" w:default="1" w:styleId="21">
    <w:name w:val="Default Paragraph Font"/>
    <w:link w:val="1"/>
    <w:semiHidden/>
    <w:qFormat/>
    <w:uiPriority w:val="0"/>
  </w:style>
  <w:style w:type="table" w:default="1" w:styleId="19">
    <w:name w:val="Normal Table"/>
    <w:qFormat/>
    <w:uiPriority w:val="4294967295"/>
    <w:tblPr>
      <w:tblCellMar>
        <w:top w:w="0" w:type="dxa"/>
        <w:left w:w="108" w:type="dxa"/>
        <w:bottom w:w="0" w:type="dxa"/>
        <w:right w:w="108" w:type="dxa"/>
      </w:tblCellMar>
    </w:tblPr>
  </w:style>
  <w:style w:type="paragraph" w:default="1" w:styleId="23">
    <w:name w:val="No List"/>
    <w:semiHidden/>
    <w:qFormat/>
    <w:uiPriority w:val="0"/>
    <w:rPr>
      <w:rFonts w:asciiTheme="minorHAnsi" w:hAnsiTheme="minorHAnsi" w:eastAsiaTheme="minorEastAsia" w:cstheme="minorBidi"/>
      <w:sz w:val="21"/>
      <w:szCs w:val="22"/>
    </w:rPr>
  </w:style>
  <w:style w:type="paragraph" w:styleId="2">
    <w:name w:val="Normal Indent"/>
    <w:basedOn w:val="1"/>
    <w:next w:val="1"/>
    <w:qFormat/>
    <w:uiPriority w:val="0"/>
    <w:pPr>
      <w:ind w:firstLine="420" w:firstLineChars="200"/>
    </w:pPr>
    <w:rPr>
      <w:rFonts w:ascii="宋体" w:hAnsi="宋体" w:eastAsia="宋体" w:cs="Times New Roman"/>
      <w:kern w:val="0"/>
      <w:sz w:val="24"/>
      <w:szCs w:val="20"/>
    </w:rPr>
  </w:style>
  <w:style w:type="paragraph" w:styleId="12">
    <w:name w:val="annotation text"/>
    <w:basedOn w:val="1"/>
    <w:qFormat/>
    <w:uiPriority w:val="4294967295"/>
    <w:pPr>
      <w:jc w:val="left"/>
    </w:pPr>
  </w:style>
  <w:style w:type="paragraph" w:styleId="13">
    <w:name w:val="Body Text"/>
    <w:basedOn w:val="1"/>
    <w:next w:val="1"/>
    <w:unhideWhenUsed/>
    <w:qFormat/>
    <w:uiPriority w:val="99"/>
    <w:pPr>
      <w:spacing w:after="120"/>
    </w:pPr>
    <w:rPr>
      <w:kern w:val="0"/>
      <w:sz w:val="20"/>
    </w:rPr>
  </w:style>
  <w:style w:type="paragraph" w:styleId="14">
    <w:name w:val="Plain Text"/>
    <w:basedOn w:val="1"/>
    <w:qFormat/>
    <w:uiPriority w:val="0"/>
    <w:rPr>
      <w:rFonts w:ascii="宋体" w:hAnsi="Courier New" w:eastAsia="宋体"/>
      <w:sz w:val="21"/>
      <w:szCs w:val="20"/>
    </w:rPr>
  </w:style>
  <w:style w:type="paragraph" w:styleId="15">
    <w:name w:val="Body Text Indent 2"/>
    <w:basedOn w:val="1"/>
    <w:qFormat/>
    <w:uiPriority w:val="0"/>
    <w:pPr>
      <w:spacing w:line="240" w:lineRule="atLeast"/>
      <w:ind w:firstLine="420" w:firstLineChars="200"/>
    </w:pPr>
    <w:rPr>
      <w:rFonts w:ascii="宋体" w:hAnsi="宋体" w:eastAsia="宋体"/>
      <w:sz w:val="21"/>
    </w:rPr>
  </w:style>
  <w:style w:type="paragraph" w:styleId="16">
    <w:name w:val="footer"/>
    <w:basedOn w:val="1"/>
    <w:qFormat/>
    <w:uiPriority w:val="4294967295"/>
    <w:pPr>
      <w:tabs>
        <w:tab w:val="center" w:pos="4153"/>
        <w:tab w:val="right" w:pos="8306"/>
      </w:tabs>
      <w:snapToGrid w:val="0"/>
      <w:jc w:val="left"/>
    </w:pPr>
    <w:rPr>
      <w:sz w:val="18"/>
    </w:rPr>
  </w:style>
  <w:style w:type="paragraph" w:styleId="17">
    <w:name w:val="header"/>
    <w:basedOn w:val="1"/>
    <w:qFormat/>
    <w:uiPriority w:val="4294967295"/>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8">
    <w:name w:val="toc 1"/>
    <w:basedOn w:val="1"/>
    <w:next w:val="1"/>
    <w:qFormat/>
    <w:uiPriority w:val="39"/>
    <w:pPr>
      <w:tabs>
        <w:tab w:val="right" w:leader="dot" w:pos="9241"/>
      </w:tabs>
      <w:spacing w:beforeLines="25" w:afterLines="25"/>
      <w:ind w:left="-283" w:leftChars="-135" w:firstLine="424" w:firstLineChars="202"/>
      <w:jc w:val="left"/>
    </w:pPr>
    <w:rPr>
      <w:rFonts w:ascii="宋体"/>
      <w:szCs w:val="21"/>
    </w:r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4294967295"/>
    <w:rPr>
      <w:b/>
    </w:rPr>
  </w:style>
  <w:style w:type="table" w:customStyle="1" w:styleId="24">
    <w:name w:val="Table Normal"/>
    <w:semiHidden/>
    <w:qFormat/>
    <w:uiPriority w:val="0"/>
    <w:tblPr>
      <w:tblCellMar>
        <w:top w:w="0" w:type="dxa"/>
        <w:left w:w="108" w:type="dxa"/>
        <w:bottom w:w="0" w:type="dxa"/>
        <w:right w:w="0" w:type="dxa"/>
      </w:tblCellMar>
    </w:tblPr>
  </w:style>
  <w:style w:type="character" w:customStyle="1" w:styleId="25">
    <w:name w:val="font01"/>
    <w:basedOn w:val="21"/>
    <w:qFormat/>
    <w:uiPriority w:val="0"/>
    <w:rPr>
      <w:rFonts w:hint="eastAsia" w:ascii="宋体" w:hAnsi="宋体" w:eastAsia="宋体" w:cs="宋体"/>
      <w:color w:val="000000"/>
      <w:sz w:val="22"/>
      <w:szCs w:val="22"/>
      <w:u w:val="none"/>
    </w:rPr>
  </w:style>
  <w:style w:type="paragraph" w:customStyle="1" w:styleId="26">
    <w:name w:val="章标题"/>
    <w:next w:val="27"/>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27">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styleId="28">
    <w:name w:val="List Paragraph"/>
    <w:basedOn w:val="1"/>
    <w:qFormat/>
    <w:uiPriority w:val="99"/>
    <w:pPr>
      <w:ind w:firstLine="420" w:firstLineChars="200"/>
    </w:pPr>
  </w:style>
  <w:style w:type="paragraph" w:customStyle="1" w:styleId="29">
    <w:name w:val="一级条标题"/>
    <w:next w:val="27"/>
    <w:qFormat/>
    <w:uiPriority w:val="0"/>
    <w:pPr>
      <w:numPr>
        <w:ilvl w:val="1"/>
        <w:numId w:val="2"/>
      </w:numPr>
      <w:spacing w:before="156" w:beforeLines="50" w:after="156" w:afterLines="50"/>
      <w:outlineLvl w:val="9"/>
    </w:pPr>
    <w:rPr>
      <w:rFonts w:ascii="黑体" w:hAnsi="Times New Roman" w:eastAsia="黑体" w:cs="Times New Roman"/>
      <w:sz w:val="21"/>
      <w:szCs w:val="21"/>
      <w:lang w:val="en-US" w:eastAsia="zh-CN" w:bidi="ar-SA"/>
    </w:rPr>
  </w:style>
  <w:style w:type="paragraph" w:customStyle="1" w:styleId="30">
    <w:name w:val="二级条标题"/>
    <w:basedOn w:val="29"/>
    <w:next w:val="27"/>
    <w:qFormat/>
    <w:uiPriority w:val="0"/>
    <w:pPr>
      <w:numPr>
        <w:ilvl w:val="2"/>
      </w:numPr>
      <w:spacing w:before="50" w:after="50"/>
      <w:outlineLvl w:val="9"/>
    </w:pPr>
  </w:style>
  <w:style w:type="paragraph" w:customStyle="1" w:styleId="31">
    <w:name w:val="附录标识"/>
    <w:basedOn w:val="1"/>
    <w:next w:val="1"/>
    <w:qFormat/>
    <w:uiPriority w:val="0"/>
    <w:pPr>
      <w:keepNext/>
      <w:widowControl/>
      <w:numPr>
        <w:ilvl w:val="0"/>
        <w:numId w:val="3"/>
      </w:numPr>
      <w:shd w:val="clear" w:color="FFFFFF" w:fill="FFFFFF"/>
      <w:tabs>
        <w:tab w:val="left" w:pos="6405"/>
      </w:tabs>
      <w:spacing w:before="640" w:after="280"/>
      <w:jc w:val="center"/>
      <w:outlineLvl w:val="0"/>
    </w:pPr>
    <w:rPr>
      <w:rFonts w:ascii="黑体" w:eastAsia="黑体"/>
      <w:kern w:val="0"/>
      <w:szCs w:val="20"/>
    </w:rPr>
  </w:style>
  <w:style w:type="character" w:customStyle="1" w:styleId="32">
    <w:name w:val="NormalCharacter"/>
    <w:semiHidden/>
    <w:qFormat/>
    <w:uiPriority w:val="0"/>
  </w:style>
  <w:style w:type="paragraph" w:customStyle="1" w:styleId="33">
    <w:name w:val="标准文件_段"/>
    <w:qFormat/>
    <w:uiPriority w:val="0"/>
    <w:pPr>
      <w:autoSpaceDE w:val="0"/>
      <w:autoSpaceDN w:val="0"/>
      <w:ind w:firstLine="420" w:firstLineChars="200"/>
      <w:jc w:val="both"/>
    </w:pPr>
    <w:rPr>
      <w:rFonts w:hint="eastAsia" w:ascii="宋体" w:hAnsi="Times New Roman" w:eastAsia="宋体" w:cs="宋体"/>
      <w:sz w:val="21"/>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Aspose</Company>
  <Pages>12</Pages>
  <Words>6011</Words>
  <Characters>7250</Characters>
  <Lines>0</Lines>
  <Paragraphs>262</Paragraphs>
  <TotalTime>14</TotalTime>
  <ScaleCrop>false</ScaleCrop>
  <LinksUpToDate>false</LinksUpToDate>
  <CharactersWithSpaces>7423</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2023-12-31T08:56:00Z</dcterms:created>
  <dc:creator>doc2pdf</dc:creator>
  <cp:lastModifiedBy>lianing</cp:lastModifiedBy>
  <cp:lastPrinted>2024-09-12T02:41:00Z</cp:lastPrinted>
  <dcterms:modified xsi:type="dcterms:W3CDTF">2025-07-04T01:54:42Z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58AFA3DAF6B74556B92005FB5F7C0648_13</vt:lpwstr>
  </property>
  <property fmtid="{D5CDD505-2E9C-101B-9397-08002B2CF9AE}" pid="4" name="KSOTemplateDocerSaveRecord">
    <vt:lpwstr>eyJoZGlkIjoiOTkzNjI5NWM5YTc5YzgzN2EzOWI1YTdkZTMxYWRhMTYiLCJ1c2VySWQiOiI5MDg4MjY3MzMifQ==</vt:lpwstr>
  </property>
</Properties>
</file>