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A18485">
      <w:pPr>
        <w:widowControl/>
        <w:spacing w:line="560" w:lineRule="exact"/>
        <w:contextualSpacing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《深圳市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科技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型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企业孵化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器管理办法</w:t>
      </w:r>
    </w:p>
    <w:p w14:paraId="52E1DB57">
      <w:pPr>
        <w:widowControl/>
        <w:spacing w:line="560" w:lineRule="exact"/>
        <w:contextualSpacing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（征集意见稿）》编制说明</w:t>
      </w:r>
    </w:p>
    <w:p w14:paraId="033963D7">
      <w:pPr>
        <w:widowControl/>
        <w:spacing w:line="560" w:lineRule="exact"/>
        <w:ind w:firstLine="594" w:firstLineChars="200"/>
        <w:jc w:val="center"/>
        <w:rPr>
          <w:rFonts w:ascii="仿宋_GB2312" w:hAnsi="仿宋" w:eastAsia="仿宋_GB2312"/>
          <w:sz w:val="32"/>
          <w:szCs w:val="32"/>
        </w:rPr>
      </w:pPr>
    </w:p>
    <w:p w14:paraId="751AB8C6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eastAsia"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一、编制</w:t>
      </w:r>
      <w:r>
        <w:rPr>
          <w:rFonts w:hint="eastAsia" w:ascii="黑体" w:hAnsi="黑体" w:eastAsia="黑体"/>
          <w:sz w:val="32"/>
          <w:szCs w:val="32"/>
          <w:highlight w:val="none"/>
        </w:rPr>
        <w:t>背景</w:t>
      </w:r>
    </w:p>
    <w:p w14:paraId="43E48023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本次《深圳市科技型孵化器管理办法（征集意见稿）》（以下简称《办法》）的制定，主要基于以下背景：</w:t>
      </w:r>
    </w:p>
    <w:p w14:paraId="4DED7335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是贯彻国家政策导向。为贯彻《工业和信息化部科技型企业孵化器管理办法》（工信部科〔2025〕131号）等国家层面对科技型企业孵化器发展的相关要求，结合深圳市实际情况，实现与国家政策的衔接，构建契合深圳特色的管理规范。</w:t>
      </w:r>
    </w:p>
    <w:p w14:paraId="5A4C7E6A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二是原管理办法的延续及修订。原《深圳市科技企业孵化器和众创空间管理暂行办法》深科技创新规〔2020〕1号，其有效期已届满；同时 ，根据深圳市机构职能调整，科技型企业孵化器的管理职责明确由深圳市工业和信息局承担，需制定新版管理办法接续。</w:t>
      </w:r>
    </w:p>
    <w:p w14:paraId="3F64D0DE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三是解决孵化器发展现实需求。为推动科技创新和产业创新深度融合，促进科技型企业孵化器高质量发展，《办法》通过明确认定标准、强化动态管理、完善支持政策，引导孵化器从“场地租赁型”向“产业赋能型”“品牌标杆型”“专业服务型”“资本驱动型”转型，实现高质量发展。</w:t>
      </w:r>
    </w:p>
    <w:p w14:paraId="2ABAEB8D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  <w:t>二</w:t>
      </w:r>
      <w:r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  <w:t>、主要思路</w:t>
      </w:r>
    </w:p>
    <w:p w14:paraId="372D073F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《办法》制定的核心思路是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“以政策衔接为基础、以规范管理为核心、以特色发展为导向、以保障支持为支撑”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，具体体现为：</w:t>
      </w:r>
    </w:p>
    <w:p w14:paraId="5BB7761F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一是以政策衔接为基础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严格遵循国家关于科技型企业孵化器的管理要求，同时结合深圳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经济特区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粤港澳大湾区核心引擎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定位，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设计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符合本地特色的条款。</w:t>
      </w:r>
    </w:p>
    <w:p w14:paraId="6750CDFF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二是以规范管理为核心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构建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认定-评价-变更-撤销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全流程管理闭环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明确市孵化器10项认定指标（如场地面积、在孵企业数量、服务人员配比），建立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优秀/合格/不合格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年度动态评价机制，细化变更报告要求及资格撤销情形，确保孵化器运营合规且高效。</w:t>
      </w:r>
    </w:p>
    <w:p w14:paraId="34902935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三是以特色发展为导向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鼓励孵化器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特色化、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差异化发展，在评价体系中设置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优先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优秀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的特色指标（如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做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产业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深度垂直孵化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、具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有标杆影响力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引进高端人才项目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、强资本链接能力），引导孵化器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高质量发展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0964E22B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四是以保障支持为支撑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通过空间保障、人才引进、资本赋能、产业协同等多维度支持政策，降低孵化器运营成本，提升其服务能力，形成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培育-评价-激励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”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的良性循环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 w14:paraId="4290360A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default" w:ascii="黑体" w:hAnsi="黑体" w:eastAsia="黑体"/>
          <w:sz w:val="32"/>
          <w:szCs w:val="32"/>
          <w:highlight w:val="none"/>
          <w:lang w:val="en-US" w:eastAsia="zh-CN"/>
        </w:rPr>
        <w:t>四、主要内容</w:t>
      </w:r>
    </w:p>
    <w:p w14:paraId="190CA2B3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《办法》共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六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章二十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</w:t>
      </w:r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条，核心内容如下：</w:t>
      </w:r>
    </w:p>
    <w:p w14:paraId="00132979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第一章总则。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确立法目的（推动科技创新与产业创新融合、促进孵化器高质量发展）、孵化器定义（服务科技型初创企业的专业机构）、核心功能（集聚资源、降低风险、促进成长）及管理主体（市工业和信息化局负责全市认定，各区负责辖区管理）。</w:t>
      </w:r>
    </w:p>
    <w:p w14:paraId="4B697AAF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第二章认定条件。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主体资质（本市注册、法人资格、运营满1年）、场地规模（自主支配面积≥3000平方米）、服务团队（专业人员占比≥80%、创业导师配比）、在孵企业质量（数量≥20家、科技型中小企业/创新型中心企业占比≥20%）、企业成长（营收/研发增长、投融资占比）、收入结构（非房租物业收入≥20%）、毕业企业（占比≥10%及4类毕业标准）、统计填报、合规性等10个维度，明确市孵化器认定标准。</w:t>
      </w:r>
    </w:p>
    <w:p w14:paraId="0DFC4609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第三章认定程序。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规范“自主申报-审查核查（形式审查、专家评审、实地核查、专项审计）-公示授牌”流程，明确认定频次为“每年集中一次”，确保认定过程公开、公平、公正。</w:t>
      </w:r>
    </w:p>
    <w:p w14:paraId="6CCEA8DD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第四章管理与评价。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建立年度动态评价机制，明确“优秀”的4类特色情形及“不合格”的处置方式；要求孵化器按规定参与统计监测，及时报告名称、运营主体、场地等变更事项；列出5类资格撤销情形，强化约束力度。</w:t>
      </w:r>
    </w:p>
    <w:p w14:paraId="45EE2AA6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第五章促进发展。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支持政策、挖掘优质项目（联动“创客中国”赛事）、空间保障（免租/优惠空间）、人才引进（对接专业及高层次人才）、资本赋能（定制金融产品、联动产业基金）、产业赋能（战略合作与资源支持）、国际交流（离岸孵化、全球资源链接）、区域协同（区级特色扶持）8个方面，提出促进孵化器发展的措施。</w:t>
      </w:r>
    </w:p>
    <w:p w14:paraId="3435A39F">
      <w:pPr>
        <w:numPr>
          <w:ilvl w:val="-1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31"/>
          <w:right w:val="none" w:color="000000" w:sz="0" w:space="0"/>
        </w:pBdr>
        <w:snapToGrid w:val="0"/>
        <w:spacing w:line="560" w:lineRule="exact"/>
        <w:ind w:firstLine="594" w:firstLineChars="200"/>
        <w:contextualSpacing/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第六章附则。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明确办法实施前已认定的国家/省/市孵化器的衔接规则，各区制定区孵化器管理办法（含众创类载体），规定办法解释权归属（市工业和信息化局）及施行时间。</w:t>
      </w:r>
      <w:bookmarkStart w:id="0" w:name="_GoBack"/>
      <w:bookmarkEnd w:id="0"/>
    </w:p>
    <w:sectPr>
      <w:footerReference r:id="rId3" w:type="default"/>
      <w:pgSz w:w="11906" w:h="16838"/>
      <w:pgMar w:top="1440" w:right="1417" w:bottom="1440" w:left="1417" w:header="851" w:footer="992" w:gutter="0"/>
      <w:cols w:space="425" w:num="1"/>
      <w:docGrid w:type="linesAndChars" w:linePitch="634" w:charSpace="-47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0C3F86"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97E431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197E431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97"/>
  <w:drawingGridVerticalSpacing w:val="31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EzYmVmMjI1MmU0NDA5MWVkYTJkN2NiNzM1NjE0NmEifQ=="/>
  </w:docVars>
  <w:rsids>
    <w:rsidRoot w:val="00CE0139"/>
    <w:rsid w:val="001B08F3"/>
    <w:rsid w:val="003D311F"/>
    <w:rsid w:val="003F48ED"/>
    <w:rsid w:val="007731D7"/>
    <w:rsid w:val="00997D30"/>
    <w:rsid w:val="00A04589"/>
    <w:rsid w:val="00A12DAF"/>
    <w:rsid w:val="00CB2E62"/>
    <w:rsid w:val="00CE0139"/>
    <w:rsid w:val="00E1285C"/>
    <w:rsid w:val="00EE35C0"/>
    <w:rsid w:val="00FC534C"/>
    <w:rsid w:val="014A7C57"/>
    <w:rsid w:val="01E66FA5"/>
    <w:rsid w:val="027023F2"/>
    <w:rsid w:val="029F53A6"/>
    <w:rsid w:val="02BF15A4"/>
    <w:rsid w:val="02E86EC0"/>
    <w:rsid w:val="04564B10"/>
    <w:rsid w:val="04FB48DD"/>
    <w:rsid w:val="05B27D9F"/>
    <w:rsid w:val="08183C31"/>
    <w:rsid w:val="08485B98"/>
    <w:rsid w:val="085851E2"/>
    <w:rsid w:val="087A397A"/>
    <w:rsid w:val="08E73603"/>
    <w:rsid w:val="099948FD"/>
    <w:rsid w:val="0A6B0E6F"/>
    <w:rsid w:val="0B3D39AE"/>
    <w:rsid w:val="0B792C38"/>
    <w:rsid w:val="0BAB4DBC"/>
    <w:rsid w:val="0C2D4884"/>
    <w:rsid w:val="0D074274"/>
    <w:rsid w:val="0D4B4161"/>
    <w:rsid w:val="0E0274F3"/>
    <w:rsid w:val="11A421F0"/>
    <w:rsid w:val="11DD1A47"/>
    <w:rsid w:val="122C0E47"/>
    <w:rsid w:val="135B2B22"/>
    <w:rsid w:val="13B22824"/>
    <w:rsid w:val="14A9361B"/>
    <w:rsid w:val="18F41B50"/>
    <w:rsid w:val="19B154DE"/>
    <w:rsid w:val="1A5F749D"/>
    <w:rsid w:val="1A864A2A"/>
    <w:rsid w:val="1AAC018C"/>
    <w:rsid w:val="1AF0558E"/>
    <w:rsid w:val="1B544B28"/>
    <w:rsid w:val="1B7C7BDB"/>
    <w:rsid w:val="1C705992"/>
    <w:rsid w:val="1C876837"/>
    <w:rsid w:val="1CA7512B"/>
    <w:rsid w:val="1E1B7B7F"/>
    <w:rsid w:val="1E4075E6"/>
    <w:rsid w:val="1F1A1BE5"/>
    <w:rsid w:val="1F332CFD"/>
    <w:rsid w:val="1FEA15B7"/>
    <w:rsid w:val="20C356BD"/>
    <w:rsid w:val="21F42162"/>
    <w:rsid w:val="227E248B"/>
    <w:rsid w:val="22C72083"/>
    <w:rsid w:val="242017B5"/>
    <w:rsid w:val="24AF7273"/>
    <w:rsid w:val="262F241A"/>
    <w:rsid w:val="26D905D7"/>
    <w:rsid w:val="270F224B"/>
    <w:rsid w:val="28D939DA"/>
    <w:rsid w:val="2A1D6A2D"/>
    <w:rsid w:val="2AA1765E"/>
    <w:rsid w:val="2AFB092E"/>
    <w:rsid w:val="2B4C581C"/>
    <w:rsid w:val="2C9F7BCD"/>
    <w:rsid w:val="2D573009"/>
    <w:rsid w:val="2D727090"/>
    <w:rsid w:val="2E162111"/>
    <w:rsid w:val="2EAF752E"/>
    <w:rsid w:val="2EBC05C2"/>
    <w:rsid w:val="2F6649D2"/>
    <w:rsid w:val="2FAA0D63"/>
    <w:rsid w:val="30E67B79"/>
    <w:rsid w:val="30ED7007"/>
    <w:rsid w:val="32652376"/>
    <w:rsid w:val="32931661"/>
    <w:rsid w:val="329702E7"/>
    <w:rsid w:val="33353039"/>
    <w:rsid w:val="337311FA"/>
    <w:rsid w:val="34A83397"/>
    <w:rsid w:val="35F95690"/>
    <w:rsid w:val="378F7B49"/>
    <w:rsid w:val="37EF1A09"/>
    <w:rsid w:val="390414E4"/>
    <w:rsid w:val="394A0EC1"/>
    <w:rsid w:val="3986639D"/>
    <w:rsid w:val="398854F6"/>
    <w:rsid w:val="3A5D2D2E"/>
    <w:rsid w:val="3AF235BE"/>
    <w:rsid w:val="3BD80A06"/>
    <w:rsid w:val="3BE21884"/>
    <w:rsid w:val="3DED5E42"/>
    <w:rsid w:val="3E554590"/>
    <w:rsid w:val="3F473ED8"/>
    <w:rsid w:val="3FB53538"/>
    <w:rsid w:val="403501D5"/>
    <w:rsid w:val="413606A8"/>
    <w:rsid w:val="42664FBD"/>
    <w:rsid w:val="43685EBD"/>
    <w:rsid w:val="44644F00"/>
    <w:rsid w:val="447A6F6F"/>
    <w:rsid w:val="462A6302"/>
    <w:rsid w:val="472D1A20"/>
    <w:rsid w:val="47AC3472"/>
    <w:rsid w:val="47AF6ABF"/>
    <w:rsid w:val="47F60B91"/>
    <w:rsid w:val="489363E0"/>
    <w:rsid w:val="48A028AB"/>
    <w:rsid w:val="49942410"/>
    <w:rsid w:val="49B55D0F"/>
    <w:rsid w:val="49CD76D0"/>
    <w:rsid w:val="4AEC627C"/>
    <w:rsid w:val="4C786019"/>
    <w:rsid w:val="4C92075D"/>
    <w:rsid w:val="4CCF19B1"/>
    <w:rsid w:val="4D7C38E7"/>
    <w:rsid w:val="4DD52FF7"/>
    <w:rsid w:val="4E512BD7"/>
    <w:rsid w:val="4E6125DE"/>
    <w:rsid w:val="4E8C5B64"/>
    <w:rsid w:val="4F4A531F"/>
    <w:rsid w:val="4F701229"/>
    <w:rsid w:val="4FC652ED"/>
    <w:rsid w:val="50014646"/>
    <w:rsid w:val="50406E4E"/>
    <w:rsid w:val="50685C04"/>
    <w:rsid w:val="54D73AF9"/>
    <w:rsid w:val="5560764A"/>
    <w:rsid w:val="55690BF5"/>
    <w:rsid w:val="55747599"/>
    <w:rsid w:val="56064695"/>
    <w:rsid w:val="56091A90"/>
    <w:rsid w:val="566969D2"/>
    <w:rsid w:val="572B7613"/>
    <w:rsid w:val="57674E62"/>
    <w:rsid w:val="584849A5"/>
    <w:rsid w:val="594D25DB"/>
    <w:rsid w:val="599B2A25"/>
    <w:rsid w:val="59CE54CA"/>
    <w:rsid w:val="5A2450EA"/>
    <w:rsid w:val="5A483BEE"/>
    <w:rsid w:val="5A7A7400"/>
    <w:rsid w:val="5B496D78"/>
    <w:rsid w:val="5BF925A6"/>
    <w:rsid w:val="5D8D4547"/>
    <w:rsid w:val="5F052F5D"/>
    <w:rsid w:val="60105231"/>
    <w:rsid w:val="60607E08"/>
    <w:rsid w:val="61CD250B"/>
    <w:rsid w:val="61CE3B8D"/>
    <w:rsid w:val="6239194F"/>
    <w:rsid w:val="62481B92"/>
    <w:rsid w:val="62CC4571"/>
    <w:rsid w:val="62D653F0"/>
    <w:rsid w:val="636649C5"/>
    <w:rsid w:val="643D0406"/>
    <w:rsid w:val="64836EB1"/>
    <w:rsid w:val="65404DA2"/>
    <w:rsid w:val="660109D5"/>
    <w:rsid w:val="666176C6"/>
    <w:rsid w:val="66F72E26"/>
    <w:rsid w:val="680D18B3"/>
    <w:rsid w:val="68572B2F"/>
    <w:rsid w:val="692F585A"/>
    <w:rsid w:val="694C640B"/>
    <w:rsid w:val="6A024D1C"/>
    <w:rsid w:val="6A070584"/>
    <w:rsid w:val="6A843AAD"/>
    <w:rsid w:val="6AAA414B"/>
    <w:rsid w:val="6AC27E5B"/>
    <w:rsid w:val="6C3118E9"/>
    <w:rsid w:val="6C33436C"/>
    <w:rsid w:val="6D121CE0"/>
    <w:rsid w:val="6D7C6B93"/>
    <w:rsid w:val="6EBE134F"/>
    <w:rsid w:val="6EFC7F8C"/>
    <w:rsid w:val="6F2F9CC2"/>
    <w:rsid w:val="6F3C65DA"/>
    <w:rsid w:val="6F3E2352"/>
    <w:rsid w:val="70082960"/>
    <w:rsid w:val="708E730A"/>
    <w:rsid w:val="719646C8"/>
    <w:rsid w:val="71D96B45"/>
    <w:rsid w:val="72200435"/>
    <w:rsid w:val="72CC5EC7"/>
    <w:rsid w:val="74A62F3A"/>
    <w:rsid w:val="74FD4D45"/>
    <w:rsid w:val="77453AC7"/>
    <w:rsid w:val="77AE0291"/>
    <w:rsid w:val="799F4335"/>
    <w:rsid w:val="79DD6C0C"/>
    <w:rsid w:val="79EE2BC7"/>
    <w:rsid w:val="7A7255A6"/>
    <w:rsid w:val="7B271F13"/>
    <w:rsid w:val="7B5829EE"/>
    <w:rsid w:val="7BB1498F"/>
    <w:rsid w:val="7BED4CC9"/>
    <w:rsid w:val="7CAD4FBB"/>
    <w:rsid w:val="7D4A4147"/>
    <w:rsid w:val="7D513B99"/>
    <w:rsid w:val="7D6F2271"/>
    <w:rsid w:val="7E70004F"/>
    <w:rsid w:val="7EEE278B"/>
    <w:rsid w:val="7F7546D9"/>
    <w:rsid w:val="ADD6B95C"/>
    <w:rsid w:val="B1396BF8"/>
    <w:rsid w:val="DFFE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630"/>
    </w:pPr>
    <w:rPr>
      <w:kern w:val="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qFormat/>
    <w:uiPriority w:val="0"/>
    <w:pPr>
      <w:widowControl w:val="0"/>
      <w:spacing w:after="120" w:afterLines="0" w:afterAutospacing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0">
    <w:name w:val="Strong"/>
    <w:qFormat/>
    <w:uiPriority w:val="0"/>
    <w:rPr>
      <w:b/>
    </w:rPr>
  </w:style>
  <w:style w:type="character" w:styleId="11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6"/>
    <w:qFormat/>
    <w:uiPriority w:val="99"/>
    <w:rPr>
      <w:sz w:val="18"/>
      <w:szCs w:val="18"/>
    </w:rPr>
  </w:style>
  <w:style w:type="paragraph" w:customStyle="1" w:styleId="14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1667</Words>
  <Characters>1700</Characters>
  <Lines>2</Lines>
  <Paragraphs>1</Paragraphs>
  <TotalTime>25</TotalTime>
  <ScaleCrop>false</ScaleCrop>
  <LinksUpToDate>false</LinksUpToDate>
  <CharactersWithSpaces>1701</CharactersWithSpaces>
  <Application>WPS Office_12.8.2.18606_F1E327BC-269C-435d-A152-05C5408002CA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2021-02-19T18:17:00Z</dcterms:created>
  <dc:creator>钟相明</dc:creator>
  <cp:lastModifiedBy>制发文岗A</cp:lastModifiedBy>
  <dcterms:modified xsi:type="dcterms:W3CDTF">2025-10-16T01:49:53Z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2052-12.8.2.18606</vt:lpwstr>
  </property>
  <property fmtid="{D5CDD505-2E9C-101B-9397-08002B2CF9AE}" pid="3" name="ICV">
    <vt:lpwstr>825829DB28CD4D8E9DF0C0E869BFD536</vt:lpwstr>
  </property>
  <property fmtid="{D5CDD505-2E9C-101B-9397-08002B2CF9AE}" pid="4" name="KSOTemplateDocerSaveRecord">
    <vt:lpwstr>eyJoZGlkIjoiNGVmOTVlYzI1N2VmNTcwMWUwODk4OWQ5NmIwNGRjNjQiLCJ1c2VySWQiOiIxMjEwODEwOTYzIn0=</vt:lpwstr>
  </property>
</Properties>
</file>