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A18485">
      <w:pPr>
        <w:widowControl/>
        <w:spacing w:line="560" w:lineRule="exact"/>
        <w:contextualSpacing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《深圳市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科技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型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企业孵化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器管理办法</w:t>
      </w:r>
    </w:p>
    <w:p w14:paraId="52E1DB57">
      <w:pPr>
        <w:widowControl/>
        <w:spacing w:line="560" w:lineRule="exact"/>
        <w:contextualSpacing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（征集意见稿）》编制说明</w:t>
      </w:r>
    </w:p>
    <w:p w14:paraId="033963D7">
      <w:pPr>
        <w:widowControl/>
        <w:spacing w:line="560" w:lineRule="exact"/>
        <w:ind w:firstLine="594" w:firstLineChars="200"/>
        <w:jc w:val="center"/>
        <w:rPr>
          <w:rFonts w:ascii="仿宋_GB2312" w:hAnsi="仿宋" w:eastAsia="仿宋_GB2312"/>
          <w:sz w:val="32"/>
          <w:szCs w:val="32"/>
        </w:rPr>
      </w:pPr>
    </w:p>
    <w:p w14:paraId="751AB8C6">
      <w:pPr>
        <w:numPr>
          <w:ilvl w:val="-1"/>
          <w:numId w:val="0"/>
        </w:numPr>
        <w:pBdr>
          <w:top w:val="none" w:color="000000" w:sz="0" w:space="0"/>
          <w:left w:val="none" w:color="000000" w:sz="0" w:space="0"/>
          <w:bottom w:val="none" w:color="000000" w:sz="0" w:space="31"/>
          <w:right w:val="none" w:color="000000" w:sz="0" w:space="0"/>
        </w:pBdr>
        <w:snapToGrid w:val="0"/>
        <w:spacing w:line="560" w:lineRule="exact"/>
        <w:ind w:firstLine="594" w:firstLineChars="200"/>
        <w:contextualSpacing/>
        <w:jc w:val="left"/>
        <w:rPr>
          <w:rFonts w:hint="eastAsia" w:ascii="黑体" w:hAnsi="黑体" w:eastAsia="黑体"/>
          <w:sz w:val="32"/>
          <w:szCs w:val="32"/>
          <w:highlight w:val="none"/>
        </w:rPr>
      </w:pPr>
      <w:r>
        <w:rPr>
          <w:rFonts w:hint="eastAsia" w:ascii="黑体" w:hAnsi="黑体" w:eastAsia="黑体"/>
          <w:sz w:val="32"/>
          <w:szCs w:val="32"/>
          <w:highlight w:val="none"/>
          <w:lang w:val="en-US" w:eastAsia="zh-CN"/>
        </w:rPr>
        <w:t>一、编制</w:t>
      </w:r>
      <w:r>
        <w:rPr>
          <w:rFonts w:hint="eastAsia" w:ascii="黑体" w:hAnsi="黑体" w:eastAsia="黑体"/>
          <w:sz w:val="32"/>
          <w:szCs w:val="32"/>
          <w:highlight w:val="none"/>
        </w:rPr>
        <w:t>背景</w:t>
      </w:r>
    </w:p>
    <w:p w14:paraId="43E48023">
      <w:pPr>
        <w:numPr>
          <w:ilvl w:val="-1"/>
          <w:numId w:val="0"/>
        </w:numPr>
        <w:pBdr>
          <w:top w:val="none" w:color="000000" w:sz="0" w:space="0"/>
          <w:left w:val="none" w:color="000000" w:sz="0" w:space="0"/>
          <w:bottom w:val="none" w:color="000000" w:sz="0" w:space="31"/>
          <w:right w:val="none" w:color="000000" w:sz="0" w:space="0"/>
        </w:pBdr>
        <w:snapToGrid w:val="0"/>
        <w:spacing w:line="560" w:lineRule="exact"/>
        <w:ind w:firstLine="594" w:firstLineChars="200"/>
        <w:contextualSpacing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本次《深圳市科技型孵化器管理办法（征集意见稿）》（以下简称《办法》）的制定，主要基于以下背景：</w:t>
      </w:r>
    </w:p>
    <w:p w14:paraId="4DED7335">
      <w:pPr>
        <w:numPr>
          <w:ilvl w:val="-1"/>
          <w:numId w:val="0"/>
        </w:numPr>
        <w:pBdr>
          <w:top w:val="none" w:color="000000" w:sz="0" w:space="0"/>
          <w:left w:val="none" w:color="000000" w:sz="0" w:space="0"/>
          <w:bottom w:val="none" w:color="000000" w:sz="0" w:space="31"/>
          <w:right w:val="none" w:color="000000" w:sz="0" w:space="0"/>
        </w:pBdr>
        <w:snapToGrid w:val="0"/>
        <w:spacing w:line="560" w:lineRule="exact"/>
        <w:ind w:firstLine="594" w:firstLineChars="200"/>
        <w:contextualSpacing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一是贯彻国家政策导向。为贯彻《工业和信息化部科技型企业孵化器管理办法》（工信部科〔2025〕131号）等国家层面对科技型企业孵化器发展的相关要求，结合深圳市实际情况，实现与国家政策的衔接，构建契合深圳特色的管理规范。</w:t>
      </w:r>
    </w:p>
    <w:p w14:paraId="5A4C7E6A">
      <w:pPr>
        <w:numPr>
          <w:ilvl w:val="-1"/>
          <w:numId w:val="0"/>
        </w:numPr>
        <w:pBdr>
          <w:top w:val="none" w:color="000000" w:sz="0" w:space="0"/>
          <w:left w:val="none" w:color="000000" w:sz="0" w:space="0"/>
          <w:bottom w:val="none" w:color="000000" w:sz="0" w:space="31"/>
          <w:right w:val="none" w:color="000000" w:sz="0" w:space="0"/>
        </w:pBdr>
        <w:snapToGrid w:val="0"/>
        <w:spacing w:line="560" w:lineRule="exact"/>
        <w:ind w:firstLine="594" w:firstLineChars="200"/>
        <w:contextualSpacing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二是原管理办法的延续及修订。原《深圳市科技企业孵化器和众创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空间管理暂行办法》深科技创新规〔2020〕1号，其有效期已届满；同时 ，根据深圳市机构职能调整，科技型企业孵化器的管理职责明确由深圳市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工业和信息化局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承担，需制定新版管理办法接续。</w:t>
      </w:r>
    </w:p>
    <w:p w14:paraId="3F64D0DE">
      <w:pPr>
        <w:numPr>
          <w:ilvl w:val="-1"/>
          <w:numId w:val="0"/>
        </w:numPr>
        <w:pBdr>
          <w:top w:val="none" w:color="000000" w:sz="0" w:space="0"/>
          <w:left w:val="none" w:color="000000" w:sz="0" w:space="0"/>
          <w:bottom w:val="none" w:color="000000" w:sz="0" w:space="31"/>
          <w:right w:val="none" w:color="000000" w:sz="0" w:space="0"/>
        </w:pBdr>
        <w:snapToGrid w:val="0"/>
        <w:spacing w:line="560" w:lineRule="exact"/>
        <w:ind w:firstLine="594" w:firstLineChars="200"/>
        <w:contextualSpacing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三是解决孵化器发展现实需求。为推动科技创新和产业创新深度融合，促进科技型企业孵化器高质量发展，《办法》通过明确认定标准、强化动态管理、完善支持政策，引导孵化器从“场地租赁型”向“产业赋能型”“品牌标杆型”“专业服务型”“资本驱动型”转型，实现高质量发展。</w:t>
      </w:r>
    </w:p>
    <w:p w14:paraId="2ABAEB8D">
      <w:pPr>
        <w:numPr>
          <w:ilvl w:val="-1"/>
          <w:numId w:val="0"/>
        </w:numPr>
        <w:pBdr>
          <w:top w:val="none" w:color="000000" w:sz="0" w:space="0"/>
          <w:left w:val="none" w:color="000000" w:sz="0" w:space="0"/>
          <w:bottom w:val="none" w:color="000000" w:sz="0" w:space="31"/>
          <w:right w:val="none" w:color="000000" w:sz="0" w:space="0"/>
        </w:pBdr>
        <w:snapToGrid w:val="0"/>
        <w:spacing w:line="560" w:lineRule="exact"/>
        <w:ind w:firstLine="594" w:firstLineChars="200"/>
        <w:contextualSpacing/>
        <w:jc w:val="left"/>
        <w:rPr>
          <w:rFonts w:hint="default" w:ascii="黑体" w:hAnsi="黑体" w:eastAsia="黑体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/>
          <w:sz w:val="32"/>
          <w:szCs w:val="32"/>
          <w:highlight w:val="none"/>
          <w:lang w:val="en-US" w:eastAsia="zh-CN"/>
        </w:rPr>
        <w:t>二</w:t>
      </w:r>
      <w:r>
        <w:rPr>
          <w:rFonts w:hint="default" w:ascii="黑体" w:hAnsi="黑体" w:eastAsia="黑体"/>
          <w:sz w:val="32"/>
          <w:szCs w:val="32"/>
          <w:highlight w:val="none"/>
          <w:lang w:val="en-US" w:eastAsia="zh-CN"/>
        </w:rPr>
        <w:t>、主要思路</w:t>
      </w:r>
    </w:p>
    <w:p w14:paraId="372D073F">
      <w:pPr>
        <w:numPr>
          <w:ilvl w:val="-1"/>
          <w:numId w:val="0"/>
        </w:numPr>
        <w:pBdr>
          <w:top w:val="none" w:color="000000" w:sz="0" w:space="0"/>
          <w:left w:val="none" w:color="000000" w:sz="0" w:space="0"/>
          <w:bottom w:val="none" w:color="000000" w:sz="0" w:space="31"/>
          <w:right w:val="none" w:color="000000" w:sz="0" w:space="0"/>
        </w:pBdr>
        <w:snapToGrid w:val="0"/>
        <w:spacing w:line="560" w:lineRule="exact"/>
        <w:ind w:firstLine="594" w:firstLineChars="200"/>
        <w:contextualSpacing/>
        <w:jc w:val="left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《办法》制定的核心思路是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“以政策衔接为基础、以规范管理为核心、以特色发展为导向、以保障支持为支撑”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，具体体现为：</w:t>
      </w:r>
    </w:p>
    <w:p w14:paraId="5BB7761F">
      <w:pPr>
        <w:numPr>
          <w:ilvl w:val="-1"/>
          <w:numId w:val="0"/>
        </w:numPr>
        <w:pBdr>
          <w:top w:val="none" w:color="000000" w:sz="0" w:space="0"/>
          <w:left w:val="none" w:color="000000" w:sz="0" w:space="0"/>
          <w:bottom w:val="none" w:color="000000" w:sz="0" w:space="31"/>
          <w:right w:val="none" w:color="000000" w:sz="0" w:space="0"/>
        </w:pBdr>
        <w:snapToGrid w:val="0"/>
        <w:spacing w:line="560" w:lineRule="exact"/>
        <w:ind w:firstLine="594" w:firstLineChars="200"/>
        <w:contextualSpacing/>
        <w:jc w:val="left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一是以政策衔接为基础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。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严格遵循国家关于科技型企业孵化器的管理要求，同时结合深圳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“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经济特区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”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及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“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粤港澳大湾区核心引擎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”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定位，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设计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符合本地特色的条款。</w:t>
      </w:r>
    </w:p>
    <w:p w14:paraId="6750CDFF">
      <w:pPr>
        <w:numPr>
          <w:ilvl w:val="-1"/>
          <w:numId w:val="0"/>
        </w:numPr>
        <w:pBdr>
          <w:top w:val="none" w:color="000000" w:sz="0" w:space="0"/>
          <w:left w:val="none" w:color="000000" w:sz="0" w:space="0"/>
          <w:bottom w:val="none" w:color="000000" w:sz="0" w:space="31"/>
          <w:right w:val="none" w:color="000000" w:sz="0" w:space="0"/>
        </w:pBdr>
        <w:snapToGrid w:val="0"/>
        <w:spacing w:line="560" w:lineRule="exact"/>
        <w:ind w:firstLine="594" w:firstLineChars="200"/>
        <w:contextualSpacing/>
        <w:jc w:val="left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二是以规范管理为核心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。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构建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“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认定-评价-变更-撤销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”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全流程管理闭环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。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明确市孵化器10项认定指标（如场地面积、在孵企业数量、服务人员配比），建立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“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优秀/合格/不合格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”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年度动态评价机制，细化变更报告要求及资格撤销情形，确保孵化器运营合规且高效。</w:t>
      </w:r>
    </w:p>
    <w:p w14:paraId="34902935">
      <w:pPr>
        <w:numPr>
          <w:ilvl w:val="-1"/>
          <w:numId w:val="0"/>
        </w:numPr>
        <w:pBdr>
          <w:top w:val="none" w:color="000000" w:sz="0" w:space="0"/>
          <w:left w:val="none" w:color="000000" w:sz="0" w:space="0"/>
          <w:bottom w:val="none" w:color="000000" w:sz="0" w:space="31"/>
          <w:right w:val="none" w:color="000000" w:sz="0" w:space="0"/>
        </w:pBdr>
        <w:snapToGrid w:val="0"/>
        <w:spacing w:line="560" w:lineRule="exact"/>
        <w:ind w:firstLine="594" w:firstLineChars="200"/>
        <w:contextualSpacing/>
        <w:jc w:val="left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三是以特色发展为导向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。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鼓励孵化器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特色化、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差异化发展，在评价体系中设置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优先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“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优秀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”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的特色指标（如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做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产业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深度垂直孵化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、具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有标杆影响力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引进高端人才项目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、强资本链接能力），引导孵化器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高质量发展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。</w:t>
      </w:r>
    </w:p>
    <w:p w14:paraId="0964E22B">
      <w:pPr>
        <w:numPr>
          <w:ilvl w:val="-1"/>
          <w:numId w:val="0"/>
        </w:numPr>
        <w:pBdr>
          <w:top w:val="none" w:color="000000" w:sz="0" w:space="0"/>
          <w:left w:val="none" w:color="000000" w:sz="0" w:space="0"/>
          <w:bottom w:val="none" w:color="000000" w:sz="0" w:space="31"/>
          <w:right w:val="none" w:color="000000" w:sz="0" w:space="0"/>
        </w:pBdr>
        <w:snapToGrid w:val="0"/>
        <w:spacing w:line="560" w:lineRule="exact"/>
        <w:ind w:firstLine="594" w:firstLineChars="200"/>
        <w:contextualSpacing/>
        <w:jc w:val="left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四是以保障支持为支撑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。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通过空间保障、人才引进、资本赋能、产业协同等多维度支持政策，降低孵化器运营成本，提升其服务能力，形成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“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培育-评价-激励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”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的良性循环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。</w:t>
      </w:r>
    </w:p>
    <w:p w14:paraId="4290360A">
      <w:pPr>
        <w:numPr>
          <w:ilvl w:val="-1"/>
          <w:numId w:val="0"/>
        </w:numPr>
        <w:pBdr>
          <w:top w:val="none" w:color="000000" w:sz="0" w:space="0"/>
          <w:left w:val="none" w:color="000000" w:sz="0" w:space="0"/>
          <w:bottom w:val="none" w:color="000000" w:sz="0" w:space="31"/>
          <w:right w:val="none" w:color="000000" w:sz="0" w:space="0"/>
        </w:pBdr>
        <w:snapToGrid w:val="0"/>
        <w:spacing w:line="560" w:lineRule="exact"/>
        <w:ind w:firstLine="594" w:firstLineChars="200"/>
        <w:contextualSpacing/>
        <w:jc w:val="left"/>
        <w:rPr>
          <w:rFonts w:hint="default" w:ascii="黑体" w:hAnsi="黑体" w:eastAsia="黑体"/>
          <w:sz w:val="32"/>
          <w:szCs w:val="32"/>
          <w:highlight w:val="none"/>
          <w:lang w:val="en-US" w:eastAsia="zh-CN"/>
        </w:rPr>
      </w:pPr>
      <w:r>
        <w:rPr>
          <w:rFonts w:hint="default" w:ascii="黑体" w:hAnsi="黑体" w:eastAsia="黑体"/>
          <w:sz w:val="32"/>
          <w:szCs w:val="32"/>
          <w:highlight w:val="none"/>
          <w:lang w:val="en-US" w:eastAsia="zh-CN"/>
        </w:rPr>
        <w:t>四、主要内容</w:t>
      </w:r>
    </w:p>
    <w:p w14:paraId="190CA2B3">
      <w:pPr>
        <w:numPr>
          <w:ilvl w:val="-1"/>
          <w:numId w:val="0"/>
        </w:numPr>
        <w:pBdr>
          <w:top w:val="none" w:color="000000" w:sz="0" w:space="0"/>
          <w:left w:val="none" w:color="000000" w:sz="0" w:space="0"/>
          <w:bottom w:val="none" w:color="000000" w:sz="0" w:space="31"/>
          <w:right w:val="none" w:color="000000" w:sz="0" w:space="0"/>
        </w:pBdr>
        <w:snapToGrid w:val="0"/>
        <w:spacing w:line="560" w:lineRule="exact"/>
        <w:ind w:firstLine="594" w:firstLineChars="200"/>
        <w:contextualSpacing/>
        <w:jc w:val="left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《办法》共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六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章二十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五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条，核心内容如下：</w:t>
      </w:r>
    </w:p>
    <w:p w14:paraId="00132979">
      <w:pPr>
        <w:numPr>
          <w:ilvl w:val="-1"/>
          <w:numId w:val="0"/>
        </w:numPr>
        <w:pBdr>
          <w:top w:val="none" w:color="000000" w:sz="0" w:space="0"/>
          <w:left w:val="none" w:color="000000" w:sz="0" w:space="0"/>
          <w:bottom w:val="none" w:color="000000" w:sz="0" w:space="31"/>
          <w:right w:val="none" w:color="000000" w:sz="0" w:space="0"/>
        </w:pBdr>
        <w:snapToGrid w:val="0"/>
        <w:spacing w:line="560" w:lineRule="exact"/>
        <w:ind w:firstLine="594" w:firstLineChars="200"/>
        <w:contextualSpacing/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第一章总则。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明确立法目的（推动科技创新与产业创新融合、促进孵化器高质量发展）、孵化器定义（服务科技型初创企业的专业机构）、核心功能（集聚资源、降低风险、促进成长）及管理主体（市工业和信息化局负责全市认定，各区负责辖区管理）。</w:t>
      </w:r>
    </w:p>
    <w:p w14:paraId="4B697AAF">
      <w:pPr>
        <w:numPr>
          <w:ilvl w:val="-1"/>
          <w:numId w:val="0"/>
        </w:numPr>
        <w:pBdr>
          <w:top w:val="none" w:color="000000" w:sz="0" w:space="0"/>
          <w:left w:val="none" w:color="000000" w:sz="0" w:space="0"/>
          <w:bottom w:val="none" w:color="000000" w:sz="0" w:space="31"/>
          <w:right w:val="none" w:color="000000" w:sz="0" w:space="0"/>
        </w:pBdr>
        <w:snapToGrid w:val="0"/>
        <w:spacing w:line="560" w:lineRule="exact"/>
        <w:ind w:firstLine="594" w:firstLineChars="200"/>
        <w:contextualSpacing/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第二章认定条件。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从主体资质（本市注册、法人资格、运营满1年）、场地规模（自主支配面积≥3000平方米）、服务团队（专业人员占比≥80%、创业导师配比）、在孵企业质量（数量≥20家、科技型中小企业/创新型中心企业占比≥20%）、企业成长（营收/研发增长、投融资占比）、收入结构（非房租物业收入≥20%）、毕业企业（占比≥10%及4类毕业标准）、统计填报、合规性等10个维度，明确市孵化器认定标准。</w:t>
      </w:r>
    </w:p>
    <w:p w14:paraId="0DFC4609">
      <w:pPr>
        <w:numPr>
          <w:ilvl w:val="-1"/>
          <w:numId w:val="0"/>
        </w:numPr>
        <w:pBdr>
          <w:top w:val="none" w:color="000000" w:sz="0" w:space="0"/>
          <w:left w:val="none" w:color="000000" w:sz="0" w:space="0"/>
          <w:bottom w:val="none" w:color="000000" w:sz="0" w:space="31"/>
          <w:right w:val="none" w:color="000000" w:sz="0" w:space="0"/>
        </w:pBdr>
        <w:snapToGrid w:val="0"/>
        <w:spacing w:line="560" w:lineRule="exact"/>
        <w:ind w:firstLine="594" w:firstLineChars="200"/>
        <w:contextualSpacing/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第三章认定程序。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规范“自主申报-审查核查（形式审查、专家评审、实地核查、专项审计）-公示授牌”流程，明确认定频次为“每年集中一次”，确保认定过程公开、公平、公正。</w:t>
      </w:r>
    </w:p>
    <w:p w14:paraId="6CCEA8DD">
      <w:pPr>
        <w:numPr>
          <w:ilvl w:val="-1"/>
          <w:numId w:val="0"/>
        </w:numPr>
        <w:pBdr>
          <w:top w:val="none" w:color="000000" w:sz="0" w:space="0"/>
          <w:left w:val="none" w:color="000000" w:sz="0" w:space="0"/>
          <w:bottom w:val="none" w:color="000000" w:sz="0" w:space="31"/>
          <w:right w:val="none" w:color="000000" w:sz="0" w:space="0"/>
        </w:pBdr>
        <w:snapToGrid w:val="0"/>
        <w:spacing w:line="560" w:lineRule="exact"/>
        <w:ind w:firstLine="594" w:firstLineChars="200"/>
        <w:contextualSpacing/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第四章管理与评价。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建立年度动态评价机制，明确“优秀”的4类特色情形及“不合格”的处置方式；要求孵化器按规定参与统计监测，及时报告名称、运营主体、场地等变更事项；列出5类资格撤销情形，强化约束力度。</w:t>
      </w:r>
    </w:p>
    <w:p w14:paraId="45EE2AA6">
      <w:pPr>
        <w:numPr>
          <w:ilvl w:val="-1"/>
          <w:numId w:val="0"/>
        </w:numPr>
        <w:pBdr>
          <w:top w:val="none" w:color="000000" w:sz="0" w:space="0"/>
          <w:left w:val="none" w:color="000000" w:sz="0" w:space="0"/>
          <w:bottom w:val="none" w:color="000000" w:sz="0" w:space="31"/>
          <w:right w:val="none" w:color="000000" w:sz="0" w:space="0"/>
        </w:pBdr>
        <w:snapToGrid w:val="0"/>
        <w:spacing w:line="560" w:lineRule="exact"/>
        <w:ind w:firstLine="594" w:firstLineChars="200"/>
        <w:contextualSpacing/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第五章促进发展。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从支持政策、挖掘优质项目（联动“创客中国”赛事）、空间保障（免租/优惠空间）、人才引进（对接专业及高层次人才）、资本赋能（定制金融产品、联动产业基金）、产业赋能（战略合作与资源支持）、国际交流（离岸孵化、全球资源链接）、区域协同（区级特色扶持）8个方面，提出促进孵化器发展的措施。</w:t>
      </w:r>
    </w:p>
    <w:p w14:paraId="3435A39F">
      <w:pPr>
        <w:numPr>
          <w:ilvl w:val="-1"/>
          <w:numId w:val="0"/>
        </w:numPr>
        <w:pBdr>
          <w:top w:val="none" w:color="000000" w:sz="0" w:space="0"/>
          <w:left w:val="none" w:color="000000" w:sz="0" w:space="0"/>
          <w:bottom w:val="none" w:color="000000" w:sz="0" w:space="31"/>
          <w:right w:val="none" w:color="000000" w:sz="0" w:space="0"/>
        </w:pBdr>
        <w:snapToGrid w:val="0"/>
        <w:spacing w:line="560" w:lineRule="exact"/>
        <w:ind w:firstLine="594" w:firstLineChars="200"/>
        <w:contextualSpacing/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第六章附则。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明确办法实施前已认定的国家/省/市孵化器的衔接规则，各区制定区孵化器管理办法（含众创类载体），规定办法解释权归属（市工业和信息化局）及施行时间。</w:t>
      </w:r>
    </w:p>
    <w:sectPr>
      <w:footerReference r:id="rId3" w:type="default"/>
      <w:pgSz w:w="11906" w:h="16838"/>
      <w:pgMar w:top="1440" w:right="1417" w:bottom="1440" w:left="1417" w:header="851" w:footer="992" w:gutter="0"/>
      <w:cols w:space="425" w:num="1"/>
      <w:docGrid w:type="linesAndChars" w:linePitch="634" w:charSpace="-474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261774D8-AB34-47F8-9E22-BA7B6CAA8BEF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CA2B5FA0-BA0F-4732-9721-94751C7B2551}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3" w:fontKey="{73B038F7-04F7-49E3-AB39-980FB782510E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4" w:fontKey="{969A08DF-42C1-4104-B4B3-E2EAE2AFBD4E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0C3F86">
    <w:pPr>
      <w:pStyle w:val="6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197E431">
                          <w:pPr>
                            <w:pStyle w:val="6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197E431">
                    <w:pPr>
                      <w:pStyle w:val="6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HorizontalSpacing w:val="297"/>
  <w:drawingGridVerticalSpacing w:val="317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EzYmVmMjI1MmU0NDA5MWVkYTJkN2NiNzM1NjE0NmEifQ=="/>
  </w:docVars>
  <w:rsids>
    <w:rsidRoot w:val="00CE0139"/>
    <w:rsid w:val="001B08F3"/>
    <w:rsid w:val="003D311F"/>
    <w:rsid w:val="003F48ED"/>
    <w:rsid w:val="007731D7"/>
    <w:rsid w:val="00997D30"/>
    <w:rsid w:val="00A04589"/>
    <w:rsid w:val="00A12DAF"/>
    <w:rsid w:val="00CB2E62"/>
    <w:rsid w:val="00CE0139"/>
    <w:rsid w:val="00E1285C"/>
    <w:rsid w:val="00EE35C0"/>
    <w:rsid w:val="00FC534C"/>
    <w:rsid w:val="014A7C57"/>
    <w:rsid w:val="01E66FA5"/>
    <w:rsid w:val="027023F2"/>
    <w:rsid w:val="029F53A6"/>
    <w:rsid w:val="02BF15A4"/>
    <w:rsid w:val="02E86EC0"/>
    <w:rsid w:val="04564B10"/>
    <w:rsid w:val="04FB48DD"/>
    <w:rsid w:val="05B27D9F"/>
    <w:rsid w:val="08183C31"/>
    <w:rsid w:val="08485B98"/>
    <w:rsid w:val="085851E2"/>
    <w:rsid w:val="087A397A"/>
    <w:rsid w:val="08E73603"/>
    <w:rsid w:val="099948FD"/>
    <w:rsid w:val="0A6B0E6F"/>
    <w:rsid w:val="0B3D39AE"/>
    <w:rsid w:val="0B792C38"/>
    <w:rsid w:val="0BAB4DBC"/>
    <w:rsid w:val="0C2D4884"/>
    <w:rsid w:val="0D074274"/>
    <w:rsid w:val="0D4B4161"/>
    <w:rsid w:val="0E0274F3"/>
    <w:rsid w:val="11A421F0"/>
    <w:rsid w:val="11DD1A47"/>
    <w:rsid w:val="122C0E47"/>
    <w:rsid w:val="135B2B22"/>
    <w:rsid w:val="13B22824"/>
    <w:rsid w:val="14A9361B"/>
    <w:rsid w:val="18F41B50"/>
    <w:rsid w:val="19B154DE"/>
    <w:rsid w:val="1A5F749D"/>
    <w:rsid w:val="1A864A2A"/>
    <w:rsid w:val="1AAC018C"/>
    <w:rsid w:val="1AF0558E"/>
    <w:rsid w:val="1B544B28"/>
    <w:rsid w:val="1B7C7BDB"/>
    <w:rsid w:val="1C705992"/>
    <w:rsid w:val="1C876837"/>
    <w:rsid w:val="1CA7512B"/>
    <w:rsid w:val="1E1B7B7F"/>
    <w:rsid w:val="1E4075E6"/>
    <w:rsid w:val="1F1A1BE5"/>
    <w:rsid w:val="1F332CFD"/>
    <w:rsid w:val="1FEA15B7"/>
    <w:rsid w:val="20C356BD"/>
    <w:rsid w:val="21F42162"/>
    <w:rsid w:val="227E248B"/>
    <w:rsid w:val="22C72083"/>
    <w:rsid w:val="242017B5"/>
    <w:rsid w:val="24AF7273"/>
    <w:rsid w:val="262F241A"/>
    <w:rsid w:val="26D905D7"/>
    <w:rsid w:val="270F224B"/>
    <w:rsid w:val="28D939DA"/>
    <w:rsid w:val="2A1D6A2D"/>
    <w:rsid w:val="2AA1765E"/>
    <w:rsid w:val="2AFB092E"/>
    <w:rsid w:val="2B4C581C"/>
    <w:rsid w:val="2C9F7BCD"/>
    <w:rsid w:val="2D573009"/>
    <w:rsid w:val="2D727090"/>
    <w:rsid w:val="2E162111"/>
    <w:rsid w:val="2EAF752E"/>
    <w:rsid w:val="2EBC05C2"/>
    <w:rsid w:val="2F6649D2"/>
    <w:rsid w:val="2FAA0D63"/>
    <w:rsid w:val="30E67B79"/>
    <w:rsid w:val="30ED7007"/>
    <w:rsid w:val="32652376"/>
    <w:rsid w:val="32931661"/>
    <w:rsid w:val="329702E7"/>
    <w:rsid w:val="33353039"/>
    <w:rsid w:val="337311FA"/>
    <w:rsid w:val="34A83397"/>
    <w:rsid w:val="35F95690"/>
    <w:rsid w:val="378F7B49"/>
    <w:rsid w:val="37EF1A09"/>
    <w:rsid w:val="390414E4"/>
    <w:rsid w:val="394A0EC1"/>
    <w:rsid w:val="3986639D"/>
    <w:rsid w:val="398854F6"/>
    <w:rsid w:val="3A5D2D2E"/>
    <w:rsid w:val="3AF235BE"/>
    <w:rsid w:val="3BD80A06"/>
    <w:rsid w:val="3BE21884"/>
    <w:rsid w:val="3DED5E42"/>
    <w:rsid w:val="3E554590"/>
    <w:rsid w:val="3F473ED8"/>
    <w:rsid w:val="3FB53538"/>
    <w:rsid w:val="403501D5"/>
    <w:rsid w:val="413606A8"/>
    <w:rsid w:val="42664FBD"/>
    <w:rsid w:val="43685EBD"/>
    <w:rsid w:val="44644F00"/>
    <w:rsid w:val="447A6F6F"/>
    <w:rsid w:val="462A6302"/>
    <w:rsid w:val="472D1A20"/>
    <w:rsid w:val="47AC3472"/>
    <w:rsid w:val="47AF6ABF"/>
    <w:rsid w:val="47F60B91"/>
    <w:rsid w:val="489363E0"/>
    <w:rsid w:val="48A028AB"/>
    <w:rsid w:val="49942410"/>
    <w:rsid w:val="49B55D0F"/>
    <w:rsid w:val="49CD76D0"/>
    <w:rsid w:val="4AEC627C"/>
    <w:rsid w:val="4C786019"/>
    <w:rsid w:val="4C92075D"/>
    <w:rsid w:val="4CCF19B1"/>
    <w:rsid w:val="4D7C38E7"/>
    <w:rsid w:val="4DD52FF7"/>
    <w:rsid w:val="4E512BD7"/>
    <w:rsid w:val="4E6125DE"/>
    <w:rsid w:val="4E8C5B64"/>
    <w:rsid w:val="4F4A531F"/>
    <w:rsid w:val="4F701229"/>
    <w:rsid w:val="4FC652ED"/>
    <w:rsid w:val="50014646"/>
    <w:rsid w:val="50406E4E"/>
    <w:rsid w:val="50685C04"/>
    <w:rsid w:val="54D73AF9"/>
    <w:rsid w:val="5560764A"/>
    <w:rsid w:val="55690BF5"/>
    <w:rsid w:val="55747599"/>
    <w:rsid w:val="56064695"/>
    <w:rsid w:val="56091A90"/>
    <w:rsid w:val="566969D2"/>
    <w:rsid w:val="572B7613"/>
    <w:rsid w:val="57674E62"/>
    <w:rsid w:val="584849A5"/>
    <w:rsid w:val="594D25DB"/>
    <w:rsid w:val="599B2A25"/>
    <w:rsid w:val="59CE54CA"/>
    <w:rsid w:val="5A2450EA"/>
    <w:rsid w:val="5A483BEE"/>
    <w:rsid w:val="5A7A7400"/>
    <w:rsid w:val="5B496D78"/>
    <w:rsid w:val="5BF925A6"/>
    <w:rsid w:val="5D8D4547"/>
    <w:rsid w:val="5F052F5D"/>
    <w:rsid w:val="60105231"/>
    <w:rsid w:val="60607E08"/>
    <w:rsid w:val="61CD250B"/>
    <w:rsid w:val="61CE3B8D"/>
    <w:rsid w:val="6239194F"/>
    <w:rsid w:val="62481B92"/>
    <w:rsid w:val="62CC4571"/>
    <w:rsid w:val="62D653F0"/>
    <w:rsid w:val="636649C5"/>
    <w:rsid w:val="643D0406"/>
    <w:rsid w:val="64836EB1"/>
    <w:rsid w:val="65404DA2"/>
    <w:rsid w:val="660109D5"/>
    <w:rsid w:val="666176C6"/>
    <w:rsid w:val="66F72E26"/>
    <w:rsid w:val="680D18B3"/>
    <w:rsid w:val="68572B2F"/>
    <w:rsid w:val="692F585A"/>
    <w:rsid w:val="694C640B"/>
    <w:rsid w:val="6A024D1C"/>
    <w:rsid w:val="6A070584"/>
    <w:rsid w:val="6A843AAD"/>
    <w:rsid w:val="6AAA414B"/>
    <w:rsid w:val="6AC27E5B"/>
    <w:rsid w:val="6C3118E9"/>
    <w:rsid w:val="6C33436C"/>
    <w:rsid w:val="6D121CE0"/>
    <w:rsid w:val="6D5F4C88"/>
    <w:rsid w:val="6D7C6B93"/>
    <w:rsid w:val="6EBE134F"/>
    <w:rsid w:val="6EFC7F8C"/>
    <w:rsid w:val="6F2F9CC2"/>
    <w:rsid w:val="6F3C65DA"/>
    <w:rsid w:val="6F3E2352"/>
    <w:rsid w:val="70082960"/>
    <w:rsid w:val="708E730A"/>
    <w:rsid w:val="719646C8"/>
    <w:rsid w:val="71D96B45"/>
    <w:rsid w:val="72200435"/>
    <w:rsid w:val="72CC5EC7"/>
    <w:rsid w:val="74A62F3A"/>
    <w:rsid w:val="74FD4D45"/>
    <w:rsid w:val="77453AC7"/>
    <w:rsid w:val="77AE0291"/>
    <w:rsid w:val="799F4335"/>
    <w:rsid w:val="79DD6C0C"/>
    <w:rsid w:val="79EE2BC7"/>
    <w:rsid w:val="7A7255A6"/>
    <w:rsid w:val="7B271F13"/>
    <w:rsid w:val="7B5829EE"/>
    <w:rsid w:val="7BB1498F"/>
    <w:rsid w:val="7BED4CC9"/>
    <w:rsid w:val="7CAD4FBB"/>
    <w:rsid w:val="7D4A4147"/>
    <w:rsid w:val="7D513B99"/>
    <w:rsid w:val="7D6F2271"/>
    <w:rsid w:val="7E70004F"/>
    <w:rsid w:val="7EEE278B"/>
    <w:rsid w:val="7F7546D9"/>
    <w:rsid w:val="ADD6B95C"/>
    <w:rsid w:val="B1396BF8"/>
    <w:rsid w:val="DFFE3A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eastAsia="仿宋_GB2312" w:asciiTheme="minorHAnsi" w:hAnsiTheme="minorHAnsi" w:cstheme="minorBidi"/>
      <w:kern w:val="2"/>
      <w:sz w:val="32"/>
      <w:szCs w:val="22"/>
      <w:lang w:val="en-US" w:eastAsia="zh-CN" w:bidi="ar-SA"/>
    </w:rPr>
  </w:style>
  <w:style w:type="paragraph" w:styleId="3">
    <w:name w:val="heading 1"/>
    <w:basedOn w:val="1"/>
    <w:next w:val="1"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uiPriority w:val="0"/>
    <w:pPr>
      <w:ind w:firstLine="630"/>
    </w:pPr>
    <w:rPr>
      <w:kern w:val="0"/>
    </w:rPr>
  </w:style>
  <w:style w:type="paragraph" w:styleId="4">
    <w:name w:val="annotation text"/>
    <w:basedOn w:val="1"/>
    <w:semiHidden/>
    <w:unhideWhenUsed/>
    <w:qFormat/>
    <w:uiPriority w:val="99"/>
    <w:pPr>
      <w:jc w:val="left"/>
    </w:pPr>
  </w:style>
  <w:style w:type="paragraph" w:styleId="5">
    <w:name w:val="Body Text"/>
    <w:qFormat/>
    <w:uiPriority w:val="0"/>
    <w:pPr>
      <w:widowControl w:val="0"/>
      <w:spacing w:after="120" w:afterLines="0" w:afterAutospacing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6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10">
    <w:name w:val="Strong"/>
    <w:qFormat/>
    <w:uiPriority w:val="0"/>
    <w:rPr>
      <w:b/>
    </w:rPr>
  </w:style>
  <w:style w:type="character" w:styleId="11">
    <w:name w:val="Hyperlink"/>
    <w:basedOn w:val="9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12">
    <w:name w:val="页眉 Char"/>
    <w:basedOn w:val="9"/>
    <w:link w:val="7"/>
    <w:qFormat/>
    <w:uiPriority w:val="99"/>
    <w:rPr>
      <w:sz w:val="18"/>
      <w:szCs w:val="18"/>
    </w:rPr>
  </w:style>
  <w:style w:type="character" w:customStyle="1" w:styleId="13">
    <w:name w:val="页脚 Char"/>
    <w:basedOn w:val="9"/>
    <w:link w:val="6"/>
    <w:qFormat/>
    <w:uiPriority w:val="99"/>
    <w:rPr>
      <w:sz w:val="18"/>
      <w:szCs w:val="18"/>
    </w:rPr>
  </w:style>
  <w:style w:type="paragraph" w:customStyle="1" w:styleId="14">
    <w:name w:val="_Style 13"/>
    <w:qFormat/>
    <w:uiPriority w:val="0"/>
    <w:pPr>
      <w:spacing w:before="120" w:after="120" w:line="288" w:lineRule="auto"/>
      <w:ind w:left="0"/>
      <w:jc w:val="left"/>
    </w:pPr>
    <w:rPr>
      <w:rFonts w:ascii="Arial" w:hAnsi="Arial" w:eastAsia="等线" w:cs="Arial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1576</Words>
  <Characters>1598</Characters>
  <Lines>2</Lines>
  <Paragraphs>1</Paragraphs>
  <TotalTime>25</TotalTime>
  <ScaleCrop>false</ScaleCrop>
  <LinksUpToDate>false</LinksUpToDate>
  <CharactersWithSpaces>1599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2021-02-19T18:17:00Z</dcterms:created>
  <dc:creator>钟相明</dc:creator>
  <cp:lastModifiedBy>lulu最爱重口味</cp:lastModifiedBy>
  <dcterms:modified xsi:type="dcterms:W3CDTF">2026-03-30T10:46:22Z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825829DB28CD4D8E9DF0C0E869BFD536</vt:lpwstr>
  </property>
  <property fmtid="{D5CDD505-2E9C-101B-9397-08002B2CF9AE}" pid="4" name="KSOTemplateDocerSaveRecord">
    <vt:lpwstr>eyJoZGlkIjoiZjg5NzkwMWRjZjBiNzk5YzVmYWFlYWYzZTQ2OTE0Y2YiLCJ1c2VySWQiOiIzMzExNTQxOTkifQ==</vt:lpwstr>
  </property>
</Properties>
</file>