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关于以制度型开放牵引深圳创新发展，构建高质量经济发展引擎的提案</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马庆成</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20250288</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市政务服务和数据管理局,市住房和建设局</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近年来，深圳以硬科技、电子信息全产业链及大湾区国际化枢纽地位为核心优势，但在中小企业行政审批效率、产业空间供给及高房价等方面面临挑战：行政审批耗时较长，工业用地价格5年上涨58%，房价收入比高达36:1，这些因素削弱了深圳的人才吸引力。对此，深圳市委书记提出“差异化竞合”策略，推动经济从“规模速度”向“专精特新”转型，补足基础科研短板，巩固企业研发优势，优化营商环境，推进数字化政务，解决高房价问题，提升民生获得感。</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建议1、推动更高效的制度创新，打造更优质营商环境，构建“AI+改革”的智慧政务考核效益体系</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使用AI驱动政府效能革命。建设动态监测系统，搭建“深治码”平台，推进服务受理型AI机器人进驻各服务平台窗口，搭建AI网络监督体系实时抓取企业办事数据（如审批时长、重复提交材料次数），通过AI生成部门“梗阻指数”并公开排名，推动各部门优化流程、提升效率。对高频事项（如补贴申请、工商注册）实行“AI预审-人工核验”模式，压缩办理时间至24小时内。二是进行政策效果智能评估。构建“政策模拟沙盘”，输入新规条款后，AI模拟对中小微企业成本、就业、市场竞争力等方面的影响，规避“政策踩踏”（如税收优惠与社保减免冲突），减少政策试错成本，提升政策精准性和有效性。</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建议2、打造更高质量的“低成本+高活力”企业创业生态平台，为高质量科技创新企业赋能</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实施“三降一补”成本优化计划。降低人力资源成本，通过政策引导和市场机制，降低企业在招聘、培训和管理方面的成本，如提供人才引进补贴、培训支持以及灵活用工政策。减少企业费用成本，简化行政审批流程，推动“秒批秒办”等数字化政务服务，降低企业开办和运营的制度性成本。明确企业员工社会福利责任，减少社会福利责任向企业转移责任增加企业压力，包括相关员工福利政策包括生育福利政策，婚假福利政策企业承担部分费用等由政府来承担。加大更大力度多元化人才购房政策及入户政策，增加网红达人，科技达人，工匠人才，五一劳动奖获得者低门槛入户及购房政策，提升人才吸引力与归属感。二是加大产业空间供给创新力度，支持更多优质中小企业低门槛拥有自有物业空间。开放原规定“商品房性质产业空间原规定限整体转让不可分割转让政策”允许分割转让，从粗旷型产业空间供给政策向多元化精细化产业空间政策转型，制定全市分割可转让产业空间指导价防止产业空间房地产泡沫化，降低产业空间转让交易费用，具体产业空间可按层分割产权或大于1000平方单位，释放超2000万㎡低成本可分割产业空间，满足中小企业和初创企业的需求，加大中小企业归属感。推行“产业贡献度积分制”：企业税收增量及累计总量分阶级购买产业空间优惠力度政策，激励企业长期扎根深圳决心，培养更多常青树本土企业，让更多企业有自己产业空间保障有归属感长期扎根深圳，减少优质企业流失。</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建议3、盘活低效产业空间创新利用，释放更多产业空间资源，提升城市综合竞争力，构建高质量发展新格局</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加大力度推动历史遗留问题用地解决力度，推动历史预留问题用地创新解决方案，将历史预留问题用地因地制宜做保障性住房建设及产业空间分割转让低门槛高标准购买政策，高质量盘活历史预留用地。推动深圳在高质量发展道路上不断前进，为自身持续发展提供有力支撑。</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4EEA28A8">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市工业和信息化局(主办)关于对20250288号提案的答复清单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推动更高效的制度创新，打造更优质营商环境，构建“AI+改革”的智慧政务考核效益体系</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1.实施优化政务服务深化“高效办成一件事”助力高质量发展行动。围绕企业准入准营、经营发展和个人入学、就业、生活、退休等企业和个人全生命周期重要场景，上线30个“高效办成一件事”。</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1.以AI技术赋能“深i企”平台，开发建设企业服务虚拟数字人，为企业提供7X24小时不间断咨询服务。</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3AD4E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打造更高质量的“低成本+高活力”企业创业生态平台，为高质量科技创新企业赋能</w:t>
            </w:r>
          </w:p>
        </w:tc>
      </w:tr>
      <w:tr w14:paraId="21558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E39A78A">
            <w:pPr>
              <w:spacing w:line="400" w:lineRule="exact"/>
              <w:jc w:val="center"/>
              <w:rPr>
                <w:rFonts w:ascii="Calibri" w:hAnsi="Calibri" w:eastAsia="宋体" w:cs="Times New Roman"/>
                <w:b/>
              </w:rPr>
            </w:pPr>
          </w:p>
        </w:tc>
        <w:tc>
          <w:tcPr>
            <w:tcW w:w="2118" w:type="dxa"/>
            <w:vAlign w:val="center"/>
          </w:tcPr>
          <w:p w14:paraId="37C4DCF5">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2D400A4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已制定印发《深圳市城市全域数字化转型试点实施方案》的通知（深政数〔2025〕13号），加快升级“秒批”“秒报”等智慧应用，推动政务服务更加“好办”“易办”。||2.建设完善“鹏城优才卡”服务体系，符合条件的人才可按照规定享受政务、创新创业、生活便利及文体休闲等四大类40余项服务保障。</w:t>
            </w:r>
          </w:p>
        </w:tc>
      </w:tr>
      <w:tr w14:paraId="38CCB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664FF0D">
            <w:pPr>
              <w:spacing w:line="400" w:lineRule="exact"/>
              <w:ind w:firstLine="482" w:firstLineChars="200"/>
              <w:jc w:val="center"/>
              <w:rPr>
                <w:rFonts w:ascii="宋体" w:hAnsi="宋体" w:eastAsia="宋体" w:cs="Times New Roman"/>
                <w:b/>
                <w:sz w:val="24"/>
                <w:szCs w:val="24"/>
              </w:rPr>
            </w:pPr>
          </w:p>
        </w:tc>
        <w:tc>
          <w:tcPr>
            <w:tcW w:w="2118" w:type="dxa"/>
            <w:vAlign w:val="center"/>
          </w:tcPr>
          <w:p w14:paraId="7D2D47B0">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50E4DEB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1.根据提案建议，将新增12个“秒报”事项。</w:t>
            </w:r>
            <w:r>
              <w:rPr>
                <w:rFonts w:hint="eastAsia" w:ascii="仿宋" w:hAnsi="仿宋" w:eastAsia="仿宋" w:cs="仿宋"/>
                <w:b w:val="0"/>
                <w:bCs/>
                <w:sz w:val="24"/>
                <w:szCs w:val="24"/>
                <w:lang w:val="en-US" w:eastAsia="zh-CN"/>
              </w:rPr>
              <w:br w:type="textWrapping"/>
            </w:r>
            <w:r>
              <w:rPr>
                <w:rFonts w:hint="eastAsia" w:ascii="仿宋" w:hAnsi="仿宋" w:eastAsia="仿宋" w:cs="仿宋"/>
                <w:b w:val="0"/>
                <w:bCs/>
                <w:sz w:val="24"/>
                <w:szCs w:val="24"/>
                <w:lang w:val="en-US" w:eastAsia="zh-CN"/>
              </w:rPr>
              <w:t>2.试点打造集青年创业、产业孵化、商业交流、公寓租赁于一体的创业生态园区，推动建立“一张办公桌、一间办公室、一层办公楼”的乐业办公体系。</w:t>
            </w:r>
          </w:p>
        </w:tc>
      </w:tr>
      <w:tr w14:paraId="28012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9FCDCE1">
            <w:pPr>
              <w:spacing w:line="400" w:lineRule="exact"/>
              <w:ind w:firstLine="422" w:firstLineChars="200"/>
              <w:jc w:val="center"/>
              <w:rPr>
                <w:rFonts w:ascii="Calibri" w:hAnsi="Calibri" w:eastAsia="宋体" w:cs="Times New Roman"/>
                <w:b/>
              </w:rPr>
            </w:pPr>
          </w:p>
        </w:tc>
        <w:tc>
          <w:tcPr>
            <w:tcW w:w="2118" w:type="dxa"/>
            <w:vAlign w:val="center"/>
          </w:tcPr>
          <w:p w14:paraId="3AD4710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0C4D140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09C23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453DF06">
            <w:pPr>
              <w:spacing w:line="400" w:lineRule="exact"/>
              <w:ind w:firstLine="422" w:firstLineChars="200"/>
              <w:jc w:val="center"/>
              <w:rPr>
                <w:rFonts w:ascii="Calibri" w:hAnsi="Calibri" w:eastAsia="宋体" w:cs="Times New Roman"/>
                <w:b/>
              </w:rPr>
            </w:pPr>
          </w:p>
        </w:tc>
        <w:tc>
          <w:tcPr>
            <w:tcW w:w="2118" w:type="dxa"/>
            <w:vAlign w:val="center"/>
          </w:tcPr>
          <w:p w14:paraId="489D10C0">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2D2C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00F4F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351FF7E">
            <w:pPr>
              <w:spacing w:line="400" w:lineRule="exact"/>
              <w:ind w:firstLine="422" w:firstLineChars="200"/>
              <w:jc w:val="center"/>
              <w:rPr>
                <w:rFonts w:ascii="Calibri" w:hAnsi="Calibri" w:eastAsia="宋体" w:cs="Times New Roman"/>
                <w:b/>
              </w:rPr>
            </w:pPr>
          </w:p>
        </w:tc>
        <w:tc>
          <w:tcPr>
            <w:tcW w:w="2118" w:type="dxa"/>
            <w:vAlign w:val="center"/>
          </w:tcPr>
          <w:p w14:paraId="7FE4C210">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51234DE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盘活低效产业空间创新利用，释放更多产业空间资源，提升城市综合竞争力，构建高质量发展新格局</w:t>
            </w:r>
          </w:p>
        </w:tc>
      </w:tr>
      <w:tr w14:paraId="67807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4D2BDF9">
            <w:pPr>
              <w:spacing w:line="400" w:lineRule="exact"/>
              <w:jc w:val="center"/>
              <w:rPr>
                <w:rFonts w:ascii="Calibri" w:hAnsi="Calibri" w:eastAsia="宋体" w:cs="Times New Roman"/>
                <w:b/>
              </w:rPr>
            </w:pPr>
          </w:p>
        </w:tc>
        <w:tc>
          <w:tcPr>
            <w:tcW w:w="2118" w:type="dxa"/>
            <w:vAlign w:val="center"/>
          </w:tcPr>
          <w:p w14:paraId="1B72F9D5">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3659AF28">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1.制定2025年度城市更新（城中村改造）计划，明确全年度通过城市更新直接供应用地规模，移交入库的用地面积及新增更新单元计划规模等指标，高效综合利用土地资源，提高土地利用效率。</w:t>
            </w:r>
          </w:p>
        </w:tc>
      </w:tr>
      <w:tr w14:paraId="5D756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9C3E50C">
            <w:pPr>
              <w:spacing w:line="400" w:lineRule="exact"/>
              <w:ind w:firstLine="482" w:firstLineChars="200"/>
              <w:jc w:val="center"/>
              <w:rPr>
                <w:rFonts w:ascii="宋体" w:hAnsi="宋体" w:eastAsia="宋体" w:cs="Times New Roman"/>
                <w:b/>
                <w:sz w:val="24"/>
                <w:szCs w:val="24"/>
              </w:rPr>
            </w:pPr>
          </w:p>
        </w:tc>
        <w:tc>
          <w:tcPr>
            <w:tcW w:w="2118" w:type="dxa"/>
            <w:vAlign w:val="center"/>
          </w:tcPr>
          <w:p w14:paraId="68C22C4A">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37F7B8C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1.对市工业及其他产业用地供应管理政策进行修订，支持存量产业用地盘活再利用，对产业用地全周期实施全方位监管，规范各类产业用房用地管理。</w:t>
            </w:r>
          </w:p>
        </w:tc>
      </w:tr>
      <w:tr w14:paraId="4C9D8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227F979">
            <w:pPr>
              <w:spacing w:line="400" w:lineRule="exact"/>
              <w:ind w:firstLine="422" w:firstLineChars="200"/>
              <w:jc w:val="center"/>
              <w:rPr>
                <w:rFonts w:ascii="Calibri" w:hAnsi="Calibri" w:eastAsia="宋体" w:cs="Times New Roman"/>
                <w:b/>
              </w:rPr>
            </w:pPr>
          </w:p>
        </w:tc>
        <w:tc>
          <w:tcPr>
            <w:tcW w:w="2118" w:type="dxa"/>
            <w:vAlign w:val="center"/>
          </w:tcPr>
          <w:p w14:paraId="3AB35FDF">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6C24253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0ACE9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D4ECEA4">
            <w:pPr>
              <w:spacing w:line="400" w:lineRule="exact"/>
              <w:ind w:firstLine="422" w:firstLineChars="200"/>
              <w:jc w:val="center"/>
              <w:rPr>
                <w:rFonts w:ascii="Calibri" w:hAnsi="Calibri" w:eastAsia="宋体" w:cs="Times New Roman"/>
                <w:b/>
              </w:rPr>
            </w:pPr>
          </w:p>
        </w:tc>
        <w:tc>
          <w:tcPr>
            <w:tcW w:w="2118" w:type="dxa"/>
            <w:vAlign w:val="center"/>
          </w:tcPr>
          <w:p w14:paraId="4ED42DA0">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2797F58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A类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市工业和信息化局关于对市政协七届五次会议第20250288号提案答复意见的函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尊敬的马庆成委员：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市政协办公厅转来市政协七届五次会议第20250288号提案《关于以制度型开放牵引深圳创新发展，构建高质量经济发展引擎的提案》收悉。非常感谢您对中小企业发展的关心与支持。经认真研究，现答复如下：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一、关于“盘活低效产业空间创新利用，释放更多产业空间资源，提升城市综合竞争力，构建高质量发展新格局”的建议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深圳持续优化产业空间总体布局，出台工业用地供应管理、工业区转型升级和产业用地提质增效等政策，打造一批高品质、低成本的创新创业空间，引导广大中小企业扎根深圳发展。</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加强产业用地规划，推动产业空间提质增效。一是加强全市产业用地调查规划。出台关于促进工业区转型升级支持实体经济高质量发展的工作方案，对全市约7200个工业区开展地毯式调查，建立深圳市工业区基础信息数据库，全面掌握全市工业区空间、产业、效益、租金、管理等方面的数据信息。通过加强产业发展规划，引导连片工业区改造，启动连片改造试点，促进市场化主体园区加快资助转型升级，推动形成集约高效的高质量产业空间。二是强化产业用地有序供给。加快打造“两个百平方公里级”高品质产业空间，规划布局20大先进制造业园区和20大科技创新集聚区，全面统筹各类科技创新空间，全市范围已梳理70个集中连片区域、总面积约100平方公里的产业用地，并推出13平方公里首批招商用地，确保好项目都有地可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加大城市更新力度，盘活低效产业园区。在2025年度城市更新（城中村改造）计划中，明确全年度通过城市更新直接供应用地规模，移交入库的用地面积及新增更新单元计划规模等指标，高效综合利用土地资源，提高土地利用效率。同时加强对年度计划各项任务的组织领导与统筹协调，指导并督促各区、前海管理局有效落实年度计划任务。通过政策引领，盘活低效产业空间创新利用，提升产业空间升级改造，释放更多产业空间资源，提升城市综合竞争力，构建高质量发展新格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打造飞地经济模式，拓展优质企业发展空间。探索推广“总部+基地”“研发+生产”“链主+配套”等产业协作模式，打造“政府引导、市场运作、企业主体、合作共赢”的飞地经济，为全市中小企业拓展发展空间。推动建设四川（广安）深圳产业园、深圳（河源）产业转移工业园、深赣港产城一体化合作区、新疆喀什深圳产业园、深圳（汕尾）产业园等共建产业园区，引导深圳优质企业前往“飞地”做大做强，实现深圳经济结构持续优化、产业空间拓展与当地经济发展的“双向奔赴”。</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下一步，将对市工业及其他产业用地供应管理政策进行修订，完善产业用地退出的实施路径，支持存量产业用地盘活再利用，对产业用地全周期实施全方位监管，规范各类产业用房用地管理。同时，聚焦深圳“20+8”产业集群，高标准规划、建设、运营“飞地”产业园区，充分发挥双方比较优势，实现深圳、飞地和入驻企业三方利益共享共赢。</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二、关于“打造更高质量的‘低成本+高活力’企业创业生态平台，为高质量科技创新企业赋能”的建议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全力帮助企业减负降成本。一是强化人力资源保障，降低人力资源成本。建设完善“鹏城优才卡”服务体系，符合条件的人才可按照规定享受政务、创新创业、生活便利及文体休闲等四大类40余项服务保障。协助民营及中小企业招聘海外优秀毕业生，举办“百万英才汇南粤”2025年N城联动春季招聘活动，推出岗位超3.5万个，吸引位海内外优秀学子赴深就业创业。二是实施“秒报秒批一体化”政务服务改革。率先在全国推出“秒批”改革，通过数据自动比对即时获得审批结果。同时，大力推进申报侧“秒报”，在企业群众申办政务服务时实现申请表单自动填充、申请材料自动推送，实现“少填少报”甚至“免填免报”。在此基础上，创新推出“秒报秒批一体化”政务服务新模式，实现全流程智能化政务服务。企业投资项目备案实现18项申请信息免填和所有申请材料免提供，申请提交后最快6秒内即可获得审批结果。三是降低企业税费负担。实施企业研发费用加计扣除、阶段性降低失业保险费率、小微企业融资担保费用补贴等减税降费政策，坚决落实清理拖欠民营及中小企业账款工作，千方百计为企业减负。累计办结拖欠中小企业投诉问题线索492件，涉及金额5.87亿元，切实帮扶民营及中小企业纾困解难。印发关于贯彻落实进一步加大政府采购支持中小企业力度有关事宜的通知，要求通过预留政府采购份额、给予评审优惠、保障合同款项支付、推进订单融资等方式加大政府采购支持中小企业力度。</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下一步，多措并举助力企业减轻负担，打造“低成本+高活力”的科技创新生态和人才发展环境。一是持续优化人才发展环境。鼓励企业开展职称自主评审，做好高层次人才各项服务保障，吸引更多优秀青年学子选择深圳、留在深圳。二是开展涉企收费常态化治理。重点围绕政府部门、行业协会商会及中介机构、金融机构、公用企业、交通物流等重点领域收费情况开展整治，持续降低制度性交易成本。三是推动税费优惠政策直达快享、应享尽享。持续升级政策精准推送，确保税费优惠政策红利“快准稳好”直达市场主体。延续实施阶段性降低失业保险费率政策至2025年12月31日。四是加大拖欠账款清理力度。结合新修订的《保障中小企业款项支付条例》，完善预防和化解拖欠企业账款长效机制，开展规范涉企案件执行工作专项行动，进一步落实司法助企、护企、暖企措施，依法维护中小企业合法权益。</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xml:space="preserve">　　（二）加大产业空间供给创新力度。一是实施“工业上楼”厂房空间建设计划。按照“招商前置”的要求，按需定建、以需定供，为需求企业提供“定制化”厂房服务，提高“工业上楼”供需匹配度，并按照产业集群编制“工业上楼”设计指引，精准导入高端产业项目和创新资源。推动建设宝龙生物药创新发展先导区等一批产业特色鲜明、综合配套完善、运营管理高效的示范园区项目。二是推动全市产业空间供需高效对接。调研摸底全市优质产业空间资源，形成《产业园区信息汇编》，为优质项目落地提供空间信息，首期汇编收录各区连片、单个空间超10万平方米。依托“深i企”平台上线“全市产业空间专区”和“工业上楼项目招商对接专区”，通过“AI+”手段解决资源错配、信息错位问题，方便企业全面了解、高效对接全市产业空间信息。链接2.3万个优质公有物业资源，为企业提供合规透明的一站式租赁服务；接入“贝壳找房”服务，为全市企业提供“线上一站式智能匹配+线下配套40家门店和300人团队”选址专业服务。三是降低用地成本。通过设立产业发展导向、产业类型、权利限制、联合竞买、租让结合、弹性年期等供应方式，降低用地成本。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下一步，持续优化产业空间总体布局，创新空间保障方式，打造一批高品质、低成本的创新创业空间。一是保障新兴产业发展空间。打造更加智慧化标准化产业园区，集中推出各类产业创新空间面积1600万平方米，试点打造集青年创业、产业孵化、商业交流、公寓租赁于一体的创业生态园区，推动建立“一张办公桌、一间办公室、一层办公楼”的乐业办公体系。二是推动虚拟园区街道全覆盖。构建“市-区-街道-园区”四级虚拟园区体系，实现优质企业服务“上网”、零散商事主体“入园”，提供注册登记、融资、保险、会计、法律、数字化等一揽子服务，助力深圳产业突破物理空间限制，实现更高质量发展。</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三、关于“推动更高效的制度创新，打造更优质营商环境，构建‘AI+改革’的智慧政务考核效益体系”的建议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积极推进“数字政府”和“互联网+政务服务”改革工作，通过数字化创新，优化政务服务流程，创新政务服务模式，切实为企业减负，让企业群众办事更便捷高效。</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实施优化政务服务深化“高效办成一件事”助力高质量发展行动。围绕企业准入准营、经营发展和个人入学、就业、生活、退休等企业和个人全生命周期重要场景，上线30个“高效办成一件事”，实现企业开办、企业信息变更、信用修复、人才引进入户、新生儿出生、教育入学、创业补贴、社保医保、退休等事项“一次办成”，进一步缩减政务服务事项审批时间。设立并升级优化开办企业一窗通平台，让数据多跑路、企业少跑腿，实现营业执照、免费刻章、发票领用、员工社保登记、公积金开户登记、预约银行开户、签订三方扣款协议、水电气报装等10个环节压缩为1个环节、1个平台、1次申报、1日办结。</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下一步，持续深化“高效办成一件事”政务服务改革，聚焦企业全生命周期，借助数字化手段在“一件事”叠加“秒报”“秒批”“免证办”等智能服务模式，让“一件事”办理更智能高效。</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依托“深i企”推动政策直达快享。“深i企”平台注册市场主体超365万家，汇聚政务数据16亿条、互联网商业数据7.2亿条，实现政策查询、政务办理、诉求响应三大核心功能深度融合，累计办理企业诉求70万件。依托“深i企”平台建设免申即享专区，全面梳理和重构现有科技和产业领域等财政扶持资金政策，梳理符合条件的政策8项，积极开展“免申即享”“少填快报”等服务，惠及企业2.85万家，涉及资金总额15.43亿元，实现惠企政策像“快递”一样精准直达。</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下一步，一是强化政策精准供给。深化财税、金融、产业等政策精准供给，加强民营及中小企业发展政策一致性评估，提升政策整体效能。依托“深i企”平台加强企业发展要素、资源整合，利用AI技术实现资源配置效率最优化、效益最大化，帮助企业快速精准及低成本地获取资源、推广技术、宣传产品、开拓市场。二是利用AI技术满足企业高频服务需求。以AI技术赋能“深i企”平台，开发建设企业服务虚拟数字人，为企业提供7X24小时不间断咨询服务。逐步升级AI找政策、办政务、找空间、找人才、找资金、找合作等功能，满足企业高频服务需求，让企业不见面即可把事办好，促进广大中小企业健康、高质量发展。</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再次感谢您对中小企业发展的关心与支持！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xml:space="preserve">　　专此答复。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深圳市工业和信息化局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2025年8月7日</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（联系人：王涛，电话：82979489、13560789916）</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公开方式：主动公开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抄送：市政协提案委、市政府督查室</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4173D90F">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FB45B95"/>
    <w:rsid w:val="20743577"/>
    <w:rsid w:val="219D08AB"/>
    <w:rsid w:val="23AB72AF"/>
    <w:rsid w:val="23D33308"/>
    <w:rsid w:val="24407A3E"/>
    <w:rsid w:val="251F22F5"/>
    <w:rsid w:val="268818C7"/>
    <w:rsid w:val="2AA34F9C"/>
    <w:rsid w:val="2AB70E33"/>
    <w:rsid w:val="2D1365D5"/>
    <w:rsid w:val="31F91B2E"/>
    <w:rsid w:val="32B3585D"/>
    <w:rsid w:val="331034D9"/>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6230</Words>
  <Characters>6401</Characters>
  <Lines>1</Lines>
  <Paragraphs>1</Paragraphs>
  <TotalTime>42</TotalTime>
  <ScaleCrop>false</ScaleCrop>
  <LinksUpToDate>false</LinksUpToDate>
  <CharactersWithSpaces>6567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2025-11-06T05:16:15Z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