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关于加大对检验检测行业发展空间支持力度的提案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陈克胜</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20250424</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分办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市市场监督管理局,市工业和信息化局,龙华区人民政府,宝安区人民政府,光明区人民政府</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检验检测属于生产性服务业，检验检测行业的健康稳步发展对深圳产业发展具有重要的支撑作用。截止2023年底，全市通过CMA资质认定的检验检测机构超过960家，全市检验检测机构营业收入173亿元，机构平均收入位居全省首位。上海、北京、广州由于聚集了大批的国有科研院所，其检测机构也以国有性质为主，而我市民营检测机构占据相对较大的市场份额，聚集了华测、信测、谱尼等一批民营龙头机构。这些机构为深圳制造产业的发展壮大提供强有力的技术支撑和保障作用。随着深圳产业的不断转型升级，检验检测行业的发展也面临新的挑战，受制于空间的限制和经营成本的上升，近年来出现了明显的外溢现象。相比于会计、信用、知识产权、广告等现代服务业，检验检测行业需要建设实验室，场地空间需求比较大，部分实验室的仪器设备和检测条件还对房屋的高度、承重和环境有特别要求。随着深圳物业租金等经营成本的不断上涨，不少依靠租赁场地的深圳本土检验检测机构不断向深圳外围迁移。同时，受深圳土地资源紧张的限制，各区在招商项目遴选中，侧重考察项目工业产值、GDP贡献值等。检验检测行业属于生产性服务业，它的这一特点决定了检验检测机构的产值普遍较低，2023年营业收入超过10亿元的机构只有2家，全国行业龙头上市公司华测检测2023年全国营业收入才56.05亿元。从目前各区现行招商引资用地政策的了解，营业收入10亿以下的项目几乎不可能申请到建设用地。用这类产值指标与制造业相比，必然导致检验检测机构在项目用地申请等方面竞争力不足。也导致不少有意向在大湾区布局的国内外龙头机构，因深圳无法提供合适的发展空间，纷纷投向广州、东莞、惠州等周边城市。检验检测行业虽然工业产值不高，但是其服务的企业数量多，链条长。检验检测机构不仅为大型企业服务，更多可以为中小企业服务，降低中小企业经营成本。不仅提供产品检测服务，还参与企业从产品研发、设计、制造、测试、销售等全产业链之中，成功链接了供给端和需求端，一家大型检测机构服务上万甚至十万家企业。例如深圳市计量质量检测研究院2023年服务的客户高达33065个，涉及研发服务的客户近万个。产业高质量发展的要求，在产业维度方面越来越体现为供给端与需求端的高度匹配和融合发展，尤其先进制造业与高技术生产性服务的融合。据普瑞赛思公司介绍，该公司近两年参与电池、新能源汽车等生产企业研发设计阶段的服务收入明显上升，超过了50%。</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建议1、全市各区产业规划部门优化检验检测项目遴选参考指标。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根据检验检测行业既不同于制造业工业产值高，又不同于其他中介服务业对空间要求小、宽容度高的特点，研究制定更加符合检验检测行业用地需求的参考指标。比如检验检测行业的工业增加值较高，是一般工业企业的2-3倍，在以工业产值为项目遴选经济指标的现有政策下，可以建议产业部门通过工业增加值按照相应比例进行折算后计算实际贡献的工业产值，拉平与制造业的差距，解决头部机构产业用地问题等等。同时积极引导和支持机构采用联合和抱团方式申请产业用房用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建议2、建议宝安、龙华、光明等区建立检验检测产业园。</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宝安、龙华、光明等区具备良好的产业基础，且聚集华测、广电计量、威凯等一批知名检测机构，建议由区政府牵头，把检验检测认证服务业作为辖区的特色产业之一进行扶持发展，选取制造业体量大、分布相对比较集中的区域，推动规划建立检验检测专业园区，完善示范区整体规划和公共配套设施，制定推动检验检测服务业的发展的土地、财政、人才等配套政策措施,并提供专项资金保证，吸引检验检测机构入驻。</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建议3、建议市工信等产业部门加大对检验检测行业产业空间支持力度。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检验检测是为产业发展提供服务的。将检验检测服务平台与其服务的产业进行共同规划，不仅满足产业需要就近服务的需求，也有利于解决检验检测机构依靠自身力量难以寻找合适发展空间的难题。建议工信部门优化我市“工业上楼”政策，在“工业上楼”政策中预留检验检测产业用地，鼓励检测机构采用“工业上楼”的方式建设实验室，解决发展空间不足问题。</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1ACA9A6D">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99"/>
        <w:gridCol w:w="1319"/>
        <w:gridCol w:w="978"/>
        <w:gridCol w:w="1559"/>
        <w:gridCol w:w="3282"/>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6"/>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市市场监督管理局(分办)关于对20250424号提案的答复清单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gridSpan w:val="2"/>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gridSpan w:val="3"/>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全市各区产业规划部门优化检验检测项目遴选参考指标。</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gridSpan w:val="2"/>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1.非我局职能事项。</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1.非我局职能事项。</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gridSpan w:val="2"/>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gridSpan w:val="2"/>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44B2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gridSpan w:val="2"/>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gridSpan w:val="3"/>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建议宝安、龙华、光明等区建立检验检测产业园。</w:t>
            </w:r>
          </w:p>
        </w:tc>
      </w:tr>
      <w:tr w14:paraId="35EE1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F640F60">
            <w:pPr>
              <w:spacing w:line="400" w:lineRule="exact"/>
              <w:jc w:val="center"/>
              <w:rPr>
                <w:rFonts w:ascii="Calibri" w:hAnsi="Calibri" w:eastAsia="宋体" w:cs="Times New Roman"/>
                <w:b/>
              </w:rPr>
            </w:pPr>
          </w:p>
        </w:tc>
        <w:tc>
          <w:tcPr>
            <w:tcW w:w="2118" w:type="dxa"/>
            <w:gridSpan w:val="2"/>
            <w:vAlign w:val="center"/>
          </w:tcPr>
          <w:p w14:paraId="74C1955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7378A9B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1.聚焦黄金珠宝特色产业，推动罗湖水片区黄金珠宝检测机构集聚发展，目前该片区已集聚50家黄金珠宝领域检验检测机构，为我市黄金珠宝产业高质量发展提供强有力的技术支撑。</w:t>
            </w:r>
          </w:p>
        </w:tc>
      </w:tr>
      <w:tr w14:paraId="574B2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A055022">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3330729B">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4069F05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全面梳理水贝片区黄金珠宝检测集聚区机构的发展与合规情况，并拟在水贝商圈公示信用良好机构。积极采用数字化手段推动黄金珠宝检验检测机构合规建设，推进关键检测过程数字化和报告及数字证书自动生成，助力集聚区机构高效、规范发展 。</w:t>
            </w:r>
          </w:p>
        </w:tc>
      </w:tr>
      <w:tr w14:paraId="7F078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854B782">
            <w:pPr>
              <w:spacing w:line="400" w:lineRule="exact"/>
              <w:ind w:firstLine="422" w:firstLineChars="200"/>
              <w:jc w:val="center"/>
              <w:rPr>
                <w:rFonts w:ascii="Calibri" w:hAnsi="Calibri" w:eastAsia="宋体" w:cs="Times New Roman"/>
                <w:b/>
              </w:rPr>
            </w:pPr>
          </w:p>
        </w:tc>
        <w:tc>
          <w:tcPr>
            <w:tcW w:w="2118" w:type="dxa"/>
            <w:gridSpan w:val="2"/>
            <w:vAlign w:val="center"/>
          </w:tcPr>
          <w:p w14:paraId="2E4FBEF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61C2770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3B32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60D6351">
            <w:pPr>
              <w:spacing w:line="400" w:lineRule="exact"/>
              <w:ind w:firstLine="422" w:firstLineChars="200"/>
              <w:jc w:val="center"/>
              <w:rPr>
                <w:rFonts w:ascii="Calibri" w:hAnsi="Calibri" w:eastAsia="宋体" w:cs="Times New Roman"/>
                <w:b/>
              </w:rPr>
            </w:pPr>
          </w:p>
        </w:tc>
        <w:tc>
          <w:tcPr>
            <w:tcW w:w="2118" w:type="dxa"/>
            <w:gridSpan w:val="2"/>
            <w:vAlign w:val="center"/>
          </w:tcPr>
          <w:p w14:paraId="53D60C1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147BC6C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236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8D665F7">
            <w:pPr>
              <w:spacing w:line="400" w:lineRule="exact"/>
              <w:ind w:firstLine="422" w:firstLineChars="200"/>
              <w:jc w:val="center"/>
              <w:rPr>
                <w:rFonts w:ascii="Calibri" w:hAnsi="Calibri" w:eastAsia="宋体" w:cs="Times New Roman"/>
                <w:b/>
              </w:rPr>
            </w:pPr>
          </w:p>
        </w:tc>
        <w:tc>
          <w:tcPr>
            <w:tcW w:w="2118" w:type="dxa"/>
            <w:gridSpan w:val="2"/>
            <w:vAlign w:val="center"/>
          </w:tcPr>
          <w:p w14:paraId="17277E4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gridSpan w:val="3"/>
            <w:vAlign w:val="center"/>
          </w:tcPr>
          <w:p w14:paraId="0CBBF7C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建议市工信等产业部门加大对检验检测行业产业空间支持力度。</w:t>
            </w:r>
          </w:p>
        </w:tc>
      </w:tr>
      <w:tr w14:paraId="13D4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46441E9">
            <w:pPr>
              <w:spacing w:line="400" w:lineRule="exact"/>
              <w:jc w:val="center"/>
              <w:rPr>
                <w:rFonts w:ascii="Calibri" w:hAnsi="Calibri" w:eastAsia="宋体" w:cs="Times New Roman"/>
                <w:b/>
              </w:rPr>
            </w:pPr>
          </w:p>
        </w:tc>
        <w:tc>
          <w:tcPr>
            <w:tcW w:w="2118" w:type="dxa"/>
            <w:gridSpan w:val="2"/>
            <w:vAlign w:val="center"/>
          </w:tcPr>
          <w:p w14:paraId="093057E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14BA1AC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1.非我局职能事项。</w:t>
            </w:r>
          </w:p>
        </w:tc>
      </w:tr>
      <w:tr w14:paraId="37D1A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758E3A1">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4EF04B4F">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2D70636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1.非我局职能事项。</w:t>
            </w:r>
          </w:p>
        </w:tc>
      </w:tr>
      <w:tr w14:paraId="272F2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66E1958">
            <w:pPr>
              <w:spacing w:line="400" w:lineRule="exact"/>
              <w:ind w:firstLine="422" w:firstLineChars="200"/>
              <w:jc w:val="center"/>
              <w:rPr>
                <w:rFonts w:ascii="Calibri" w:hAnsi="Calibri" w:eastAsia="宋体" w:cs="Times New Roman"/>
                <w:b/>
              </w:rPr>
            </w:pPr>
          </w:p>
        </w:tc>
        <w:tc>
          <w:tcPr>
            <w:tcW w:w="2118" w:type="dxa"/>
            <w:gridSpan w:val="2"/>
            <w:vAlign w:val="center"/>
          </w:tcPr>
          <w:p w14:paraId="782075A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0682D10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98C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98D9D60">
            <w:pPr>
              <w:spacing w:line="400" w:lineRule="exact"/>
              <w:ind w:firstLine="422" w:firstLineChars="200"/>
              <w:jc w:val="center"/>
              <w:rPr>
                <w:rFonts w:ascii="Calibri" w:hAnsi="Calibri" w:eastAsia="宋体" w:cs="Times New Roman"/>
                <w:b/>
              </w:rPr>
            </w:pPr>
          </w:p>
        </w:tc>
        <w:tc>
          <w:tcPr>
            <w:tcW w:w="2118" w:type="dxa"/>
            <w:gridSpan w:val="2"/>
            <w:vAlign w:val="center"/>
          </w:tcPr>
          <w:p w14:paraId="28D1FA1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3D45993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6"/>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7月9日，我局主动与陈克胜委员沟通交流，陈克胜委员对提案办理情况表示满意。</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6"/>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r w14:paraId="49C28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84" w:type="dxa"/>
            <w:gridSpan w:val="2"/>
            <w:vAlign w:val="center"/>
          </w:tcPr>
          <w:p w14:paraId="2938FB40">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联系人</w:t>
            </w:r>
          </w:p>
        </w:tc>
        <w:tc>
          <w:tcPr>
            <w:tcW w:w="2297" w:type="dxa"/>
            <w:gridSpan w:val="2"/>
            <w:vAlign w:val="center"/>
          </w:tcPr>
          <w:p w14:paraId="2D63CCB2">
            <w:pPr>
              <w:spacing w:line="400" w:lineRule="exact"/>
              <w:rPr>
                <w:rFonts w:hint="eastAsia" w:ascii="仿宋" w:hAnsi="仿宋" w:eastAsia="仿宋" w:cs="仿宋"/>
                <w:bCs/>
                <w:color w:val="000000"/>
                <w:sz w:val="24"/>
                <w:szCs w:val="24"/>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黄铭杰</w:t>
            </w:r>
          </w:p>
        </w:tc>
        <w:tc>
          <w:tcPr>
            <w:tcW w:w="1559" w:type="dxa"/>
            <w:vAlign w:val="center"/>
          </w:tcPr>
          <w:p w14:paraId="7A839E26">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联系电话</w:t>
            </w:r>
          </w:p>
        </w:tc>
        <w:tc>
          <w:tcPr>
            <w:tcW w:w="3282" w:type="dxa"/>
          </w:tcPr>
          <w:p w14:paraId="49BE4D06">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83070248</w:t>
            </w:r>
          </w:p>
        </w:tc>
      </w:tr>
    </w:tbl>
    <w:p w14:paraId="218DF0E0">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99"/>
        <w:gridCol w:w="1319"/>
        <w:gridCol w:w="978"/>
        <w:gridCol w:w="1559"/>
        <w:gridCol w:w="3282"/>
      </w:tblGrid>
      <w:tr w14:paraId="77EE1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6"/>
            <w:vAlign w:val="center"/>
          </w:tcPr>
          <w:p w14:paraId="29D4EB10">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光明区人民政府(分办)关于对20250424号提案的答复清单</w:t>
            </w:r>
          </w:p>
        </w:tc>
      </w:tr>
      <w:tr w14:paraId="1BDBD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750ECD8C">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gridSpan w:val="2"/>
            <w:vAlign w:val="center"/>
          </w:tcPr>
          <w:p w14:paraId="0DD0D71E">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gridSpan w:val="3"/>
          </w:tcPr>
          <w:p w14:paraId="7B4F1B83">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全市各区产业规划部门优化检验检测项目遴选参考指标。</w:t>
            </w:r>
          </w:p>
        </w:tc>
      </w:tr>
      <w:tr w14:paraId="7AAF8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36914DD5">
            <w:pPr>
              <w:spacing w:line="400" w:lineRule="exact"/>
              <w:jc w:val="center"/>
              <w:rPr>
                <w:rFonts w:ascii="Calibri" w:hAnsi="Calibri" w:eastAsia="宋体" w:cs="Times New Roman"/>
                <w:b/>
              </w:rPr>
            </w:pPr>
          </w:p>
        </w:tc>
        <w:tc>
          <w:tcPr>
            <w:tcW w:w="2118" w:type="dxa"/>
            <w:gridSpan w:val="2"/>
            <w:vAlign w:val="center"/>
          </w:tcPr>
          <w:p w14:paraId="19070639">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75ED6A7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光明区高度重视检验检测行业培育发展，将其作为推动产业转型升级、提升区域核心竞争力的重要支撑。一是突出质量效益。细化产业用地项目引进相关措施，对于检验检测行业产值不高但工业增加值较高的企业，实施精准化用地支持，注重企业的科技创新能力与产业贡献度，重点考察研发投入强度、技术服务平台建设、国家级资质认证等体现高质量发展水平的核心要素并给予倾斜。||2.二是深化分类指导。建立健全覆盖项目对接、评估、落地的全链条服务体系，区产业主管部门专门成立了产业用地工作小组，为优质检验检测企业提供从政策解读到用地申报的全流程专业化指导。</w:t>
            </w:r>
          </w:p>
        </w:tc>
      </w:tr>
      <w:tr w14:paraId="2D8D4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B02CC56">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6929A76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6BDFA6F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光明区积极推进产业用地项目引进和遴选工作，一是修订完善产业用地项目引进监管实施办法等文件，创新实施产业项目分级分类管理，强化产业链关键环节用地保障。二是开展精准项目对接，主动对接引进检验检测等生产性服务业，并通过建立多部门协同机制、实施全生命周期服务等措施，推动产业集聚发展。</w:t>
            </w:r>
          </w:p>
        </w:tc>
      </w:tr>
      <w:tr w14:paraId="18F87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23FD5638">
            <w:pPr>
              <w:spacing w:line="400" w:lineRule="exact"/>
              <w:ind w:firstLine="422" w:firstLineChars="200"/>
              <w:jc w:val="center"/>
              <w:rPr>
                <w:rFonts w:ascii="Calibri" w:hAnsi="Calibri" w:eastAsia="宋体" w:cs="Times New Roman"/>
                <w:b/>
              </w:rPr>
            </w:pPr>
          </w:p>
        </w:tc>
        <w:tc>
          <w:tcPr>
            <w:tcW w:w="2118" w:type="dxa"/>
            <w:gridSpan w:val="2"/>
            <w:vAlign w:val="center"/>
          </w:tcPr>
          <w:p w14:paraId="01B6ED8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1B5F6B2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1.发挥产业用地项目引进监管实施办法等引导效应，积极对接和遴选优质检验检测优质企业，针对有用地需求的企业，按相关规定积极开展产业项目招引工作并满足其空间需求。</w:t>
            </w:r>
          </w:p>
        </w:tc>
      </w:tr>
      <w:tr w14:paraId="663F7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089EE63D">
            <w:pPr>
              <w:spacing w:line="400" w:lineRule="exact"/>
              <w:ind w:firstLine="422" w:firstLineChars="200"/>
              <w:jc w:val="center"/>
              <w:rPr>
                <w:rFonts w:ascii="Calibri" w:hAnsi="Calibri" w:eastAsia="宋体" w:cs="Times New Roman"/>
                <w:b/>
              </w:rPr>
            </w:pPr>
          </w:p>
        </w:tc>
        <w:tc>
          <w:tcPr>
            <w:tcW w:w="2118" w:type="dxa"/>
            <w:gridSpan w:val="2"/>
            <w:vAlign w:val="center"/>
          </w:tcPr>
          <w:p w14:paraId="5ADBF4D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15AEB63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6E9B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4077510">
            <w:pPr>
              <w:spacing w:line="400" w:lineRule="exact"/>
              <w:ind w:firstLine="422" w:firstLineChars="200"/>
              <w:jc w:val="center"/>
              <w:rPr>
                <w:rFonts w:ascii="Calibri" w:hAnsi="Calibri" w:eastAsia="宋体" w:cs="Times New Roman"/>
                <w:b/>
              </w:rPr>
            </w:pPr>
          </w:p>
        </w:tc>
        <w:tc>
          <w:tcPr>
            <w:tcW w:w="2118" w:type="dxa"/>
            <w:gridSpan w:val="2"/>
            <w:vAlign w:val="center"/>
          </w:tcPr>
          <w:p w14:paraId="359D928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gridSpan w:val="3"/>
            <w:vAlign w:val="center"/>
          </w:tcPr>
          <w:p w14:paraId="1F95B13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建议宝安、龙华、光明等区建立检验检测产业园。</w:t>
            </w:r>
          </w:p>
        </w:tc>
      </w:tr>
      <w:tr w14:paraId="4523F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826174D">
            <w:pPr>
              <w:spacing w:line="400" w:lineRule="exact"/>
              <w:jc w:val="center"/>
              <w:rPr>
                <w:rFonts w:ascii="Calibri" w:hAnsi="Calibri" w:eastAsia="宋体" w:cs="Times New Roman"/>
                <w:b/>
              </w:rPr>
            </w:pPr>
          </w:p>
        </w:tc>
        <w:tc>
          <w:tcPr>
            <w:tcW w:w="2118" w:type="dxa"/>
            <w:gridSpan w:val="2"/>
            <w:vAlign w:val="center"/>
          </w:tcPr>
          <w:p w14:paraId="57FA5BAC">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0063149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科学规划产业布局。光明区正大力推进粤港澳大湾区检测科技创新产业园等项目规划建设，项目以中国检验认证集团战略合作为核心，规划建设具有国际影响力的中国质量认证中心粤港澳大湾区实验总部基地，助力大湾区建设具有全球竞争力的质量技术服务高地。||2.完善配套支撑体系。聚焦检测认证领域前瞻布局，引入深圳市计量质量检测研究院光明新能源基地，重点布局电动自行车电池、储能电池、电动汽车动力电池等全链条检测体系，配备国际领先的安全测试、性能测试、可靠性测试及化学测试实验室，形成覆盖UN38.3、CB、CE、UL等全球认证及3C、CGC等国内认证的一站式服务平台。||3.强化政策支持力度。光明区构建了全方位、多层次的人才政策支持体系，重点覆盖14类关键人才群体，提供8大维度的精准化服务保障，通过构建分类科学、覆盖全面、支持精准的人才政策矩阵，打造“引得来、留得住、用得好”的人才发展生态。</w:t>
            </w:r>
          </w:p>
        </w:tc>
      </w:tr>
      <w:tr w14:paraId="61482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DBA7C03">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1D05AD09">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4EC5AA0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强化统筹协调，科学谋划项目选址布局。光明区结合中检集团发展需求，统筹考虑产业规划、区位优势及配套条件，高效完成项目预选址工作，并多次组织实地考察，充分听取企业意见，确保选址方案符合企业长远发展需求。</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2.优化服务保障，精准解决企业过渡需求。针对中检集团意向布局项目过渡期场地需求，已全面梳理区内优质园区资源，多次陪同企业实地调研，科学比选最优方案，目前已初步确定过渡场地。</w:t>
            </w:r>
          </w:p>
        </w:tc>
      </w:tr>
      <w:tr w14:paraId="01D8C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E94C7BE">
            <w:pPr>
              <w:spacing w:line="400" w:lineRule="exact"/>
              <w:ind w:firstLine="422" w:firstLineChars="200"/>
              <w:jc w:val="center"/>
              <w:rPr>
                <w:rFonts w:ascii="Calibri" w:hAnsi="Calibri" w:eastAsia="宋体" w:cs="Times New Roman"/>
                <w:b/>
              </w:rPr>
            </w:pPr>
          </w:p>
        </w:tc>
        <w:tc>
          <w:tcPr>
            <w:tcW w:w="2118" w:type="dxa"/>
            <w:gridSpan w:val="2"/>
            <w:vAlign w:val="center"/>
          </w:tcPr>
          <w:p w14:paraId="54004BF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35B4EB9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积极推动粤港澳大湾区检测科技创新产业园项目落地并开发建设，通过构建“园区+平台+政策”三位一体的支撑体系，着力吸引国内外知名检验检测认证机构区域总部、重点实验室入驻，打造辐射粤港澳大湾区的检验检测服务业集聚区。</w:t>
            </w:r>
          </w:p>
        </w:tc>
      </w:tr>
      <w:tr w14:paraId="24211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09DE22D">
            <w:pPr>
              <w:spacing w:line="400" w:lineRule="exact"/>
              <w:ind w:firstLine="422" w:firstLineChars="200"/>
              <w:jc w:val="center"/>
              <w:rPr>
                <w:rFonts w:ascii="Calibri" w:hAnsi="Calibri" w:eastAsia="宋体" w:cs="Times New Roman"/>
                <w:b/>
              </w:rPr>
            </w:pPr>
          </w:p>
        </w:tc>
        <w:tc>
          <w:tcPr>
            <w:tcW w:w="2118" w:type="dxa"/>
            <w:gridSpan w:val="2"/>
            <w:vAlign w:val="center"/>
          </w:tcPr>
          <w:p w14:paraId="25472BC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6716D9D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91C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6"/>
          </w:tcPr>
          <w:p w14:paraId="795D41AE">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3867CD63">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无</w:t>
            </w:r>
          </w:p>
          <w:p w14:paraId="49397A8E">
            <w:pPr>
              <w:spacing w:line="400" w:lineRule="exact"/>
              <w:rPr>
                <w:rFonts w:ascii="宋体" w:hAnsi="宋体" w:eastAsia="宋体" w:cs="Times New Roman"/>
                <w:bCs/>
                <w:color w:val="000000"/>
                <w:sz w:val="24"/>
                <w:szCs w:val="24"/>
              </w:rPr>
            </w:pPr>
          </w:p>
          <w:p w14:paraId="1989A15C">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不公开</w:t>
            </w:r>
          </w:p>
        </w:tc>
      </w:tr>
      <w:tr w14:paraId="6EA9D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6"/>
          </w:tcPr>
          <w:p w14:paraId="6E94DC93">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2D67CB43">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2D25F743">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4346D3AD">
            <w:pPr>
              <w:spacing w:line="400" w:lineRule="exact"/>
              <w:rPr>
                <w:rFonts w:ascii="宋体" w:hAnsi="宋体" w:eastAsia="宋体" w:cs="Times New Roman"/>
                <w:color w:val="000000"/>
                <w:sz w:val="24"/>
                <w:szCs w:val="24"/>
              </w:rPr>
            </w:pPr>
          </w:p>
        </w:tc>
      </w:tr>
      <w:tr w14:paraId="3BDFE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84" w:type="dxa"/>
            <w:gridSpan w:val="2"/>
            <w:vAlign w:val="center"/>
          </w:tcPr>
          <w:p w14:paraId="7A2380C9">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联系人</w:t>
            </w:r>
          </w:p>
        </w:tc>
        <w:tc>
          <w:tcPr>
            <w:tcW w:w="2297" w:type="dxa"/>
            <w:gridSpan w:val="2"/>
            <w:vAlign w:val="center"/>
          </w:tcPr>
          <w:p w14:paraId="1570F834">
            <w:pPr>
              <w:spacing w:line="400" w:lineRule="exact"/>
              <w:rPr>
                <w:rFonts w:hint="eastAsia" w:ascii="仿宋" w:hAnsi="仿宋" w:eastAsia="仿宋" w:cs="仿宋"/>
                <w:bCs/>
                <w:color w:val="000000"/>
                <w:sz w:val="24"/>
                <w:szCs w:val="24"/>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柯依梦</w:t>
            </w:r>
          </w:p>
        </w:tc>
        <w:tc>
          <w:tcPr>
            <w:tcW w:w="1559" w:type="dxa"/>
            <w:vAlign w:val="center"/>
          </w:tcPr>
          <w:p w14:paraId="3BC69587">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联系电话</w:t>
            </w:r>
          </w:p>
        </w:tc>
        <w:tc>
          <w:tcPr>
            <w:tcW w:w="3282" w:type="dxa"/>
          </w:tcPr>
          <w:p w14:paraId="17525D4D">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15656697866</w:t>
            </w:r>
          </w:p>
        </w:tc>
      </w:tr>
    </w:tbl>
    <w:p w14:paraId="36AE18EE">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99"/>
        <w:gridCol w:w="1319"/>
        <w:gridCol w:w="978"/>
        <w:gridCol w:w="1559"/>
        <w:gridCol w:w="3282"/>
      </w:tblGrid>
      <w:tr w14:paraId="5AA5F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6"/>
            <w:vAlign w:val="center"/>
          </w:tcPr>
          <w:p w14:paraId="50C53699">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市工业和信息化局(分办)关于对20250424号提案的答复清单</w:t>
            </w:r>
          </w:p>
        </w:tc>
      </w:tr>
      <w:tr w14:paraId="729ED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26E19B15">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gridSpan w:val="2"/>
            <w:vAlign w:val="center"/>
          </w:tcPr>
          <w:p w14:paraId="7F941D8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gridSpan w:val="3"/>
          </w:tcPr>
          <w:p w14:paraId="0277210E">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全市各区产业规划部门优化检验检测项目遴选参考指标。</w:t>
            </w:r>
          </w:p>
        </w:tc>
      </w:tr>
      <w:tr w14:paraId="10F3B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66BF91FE">
            <w:pPr>
              <w:spacing w:line="400" w:lineRule="exact"/>
              <w:jc w:val="center"/>
              <w:rPr>
                <w:rFonts w:ascii="Calibri" w:hAnsi="Calibri" w:eastAsia="宋体" w:cs="Times New Roman"/>
                <w:b/>
              </w:rPr>
            </w:pPr>
          </w:p>
        </w:tc>
        <w:tc>
          <w:tcPr>
            <w:tcW w:w="2118" w:type="dxa"/>
            <w:gridSpan w:val="2"/>
            <w:vAlign w:val="center"/>
          </w:tcPr>
          <w:p w14:paraId="10CA817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50F6FA7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79BDD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4AD41A9F">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4BBEB30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00F6913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52AB1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0274096C">
            <w:pPr>
              <w:spacing w:line="400" w:lineRule="exact"/>
              <w:ind w:firstLine="422" w:firstLineChars="200"/>
              <w:jc w:val="center"/>
              <w:rPr>
                <w:rFonts w:ascii="Calibri" w:hAnsi="Calibri" w:eastAsia="宋体" w:cs="Times New Roman"/>
                <w:b/>
              </w:rPr>
            </w:pPr>
          </w:p>
        </w:tc>
        <w:tc>
          <w:tcPr>
            <w:tcW w:w="2118" w:type="dxa"/>
            <w:gridSpan w:val="2"/>
            <w:vAlign w:val="center"/>
          </w:tcPr>
          <w:p w14:paraId="4C59681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0F9A2AA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399B2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5E4D39D">
            <w:pPr>
              <w:spacing w:line="400" w:lineRule="exact"/>
              <w:ind w:firstLine="422" w:firstLineChars="200"/>
              <w:jc w:val="center"/>
              <w:rPr>
                <w:rFonts w:ascii="Calibri" w:hAnsi="Calibri" w:eastAsia="宋体" w:cs="Times New Roman"/>
                <w:b/>
              </w:rPr>
            </w:pPr>
          </w:p>
        </w:tc>
        <w:tc>
          <w:tcPr>
            <w:tcW w:w="2118" w:type="dxa"/>
            <w:gridSpan w:val="2"/>
            <w:vAlign w:val="center"/>
          </w:tcPr>
          <w:p w14:paraId="463F11E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2C46CD3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FA6D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4EA1A2C">
            <w:pPr>
              <w:spacing w:line="400" w:lineRule="exact"/>
              <w:ind w:firstLine="422" w:firstLineChars="200"/>
              <w:jc w:val="center"/>
              <w:rPr>
                <w:rFonts w:ascii="Calibri" w:hAnsi="Calibri" w:eastAsia="宋体" w:cs="Times New Roman"/>
                <w:b/>
              </w:rPr>
            </w:pPr>
          </w:p>
        </w:tc>
        <w:tc>
          <w:tcPr>
            <w:tcW w:w="2118" w:type="dxa"/>
            <w:gridSpan w:val="2"/>
            <w:vAlign w:val="center"/>
          </w:tcPr>
          <w:p w14:paraId="5628C1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gridSpan w:val="3"/>
            <w:vAlign w:val="center"/>
          </w:tcPr>
          <w:p w14:paraId="32244BF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建议宝安、龙华、光明等区建立检验检测产业园。</w:t>
            </w:r>
          </w:p>
        </w:tc>
      </w:tr>
      <w:tr w14:paraId="6091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530418D">
            <w:pPr>
              <w:spacing w:line="400" w:lineRule="exact"/>
              <w:jc w:val="center"/>
              <w:rPr>
                <w:rFonts w:ascii="Calibri" w:hAnsi="Calibri" w:eastAsia="宋体" w:cs="Times New Roman"/>
                <w:b/>
              </w:rPr>
            </w:pPr>
          </w:p>
        </w:tc>
        <w:tc>
          <w:tcPr>
            <w:tcW w:w="2118" w:type="dxa"/>
            <w:gridSpan w:val="2"/>
            <w:vAlign w:val="center"/>
          </w:tcPr>
          <w:p w14:paraId="46B08BF6">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27D6E42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1F590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EE257FE">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0D87CB3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568FBE2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38269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0D85881">
            <w:pPr>
              <w:spacing w:line="400" w:lineRule="exact"/>
              <w:ind w:firstLine="422" w:firstLineChars="200"/>
              <w:jc w:val="center"/>
              <w:rPr>
                <w:rFonts w:ascii="Calibri" w:hAnsi="Calibri" w:eastAsia="宋体" w:cs="Times New Roman"/>
                <w:b/>
              </w:rPr>
            </w:pPr>
          </w:p>
        </w:tc>
        <w:tc>
          <w:tcPr>
            <w:tcW w:w="2118" w:type="dxa"/>
            <w:gridSpan w:val="2"/>
            <w:vAlign w:val="center"/>
          </w:tcPr>
          <w:p w14:paraId="1D0D01C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1F5679F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28211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BB46285">
            <w:pPr>
              <w:spacing w:line="400" w:lineRule="exact"/>
              <w:ind w:firstLine="422" w:firstLineChars="200"/>
              <w:jc w:val="center"/>
              <w:rPr>
                <w:rFonts w:ascii="Calibri" w:hAnsi="Calibri" w:eastAsia="宋体" w:cs="Times New Roman"/>
                <w:b/>
              </w:rPr>
            </w:pPr>
          </w:p>
        </w:tc>
        <w:tc>
          <w:tcPr>
            <w:tcW w:w="2118" w:type="dxa"/>
            <w:gridSpan w:val="2"/>
            <w:vAlign w:val="center"/>
          </w:tcPr>
          <w:p w14:paraId="424EC46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664AA00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7BA1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1B1E227">
            <w:pPr>
              <w:spacing w:line="400" w:lineRule="exact"/>
              <w:ind w:firstLine="422" w:firstLineChars="200"/>
              <w:jc w:val="center"/>
              <w:rPr>
                <w:rFonts w:ascii="Calibri" w:hAnsi="Calibri" w:eastAsia="宋体" w:cs="Times New Roman"/>
                <w:b/>
              </w:rPr>
            </w:pPr>
          </w:p>
        </w:tc>
        <w:tc>
          <w:tcPr>
            <w:tcW w:w="2118" w:type="dxa"/>
            <w:gridSpan w:val="2"/>
            <w:vAlign w:val="center"/>
          </w:tcPr>
          <w:p w14:paraId="37F49FF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gridSpan w:val="3"/>
            <w:vAlign w:val="center"/>
          </w:tcPr>
          <w:p w14:paraId="3A4C2EB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建议市工信等产业部门加大对检验检测行业产业空间支持力度。</w:t>
            </w:r>
          </w:p>
        </w:tc>
      </w:tr>
      <w:tr w14:paraId="48B15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73E430">
            <w:pPr>
              <w:spacing w:line="400" w:lineRule="exact"/>
              <w:jc w:val="center"/>
              <w:rPr>
                <w:rFonts w:ascii="Calibri" w:hAnsi="Calibri" w:eastAsia="宋体" w:cs="Times New Roman"/>
                <w:b/>
              </w:rPr>
            </w:pPr>
          </w:p>
        </w:tc>
        <w:tc>
          <w:tcPr>
            <w:tcW w:w="2118" w:type="dxa"/>
            <w:gridSpan w:val="2"/>
            <w:vAlign w:val="center"/>
          </w:tcPr>
          <w:p w14:paraId="40CC4CD9">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09AC779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我市实施“工业上楼”计划以来，各单位始终围绕“20+8”产业集群发展，依托20大先进制造业园区，打造“垂直工厂”，规模化提供优质、低成本的城市产业基础设施，该计划是深圳在制造业高质量发展新格局和厂房空间资源紧缺的双重背景下，城市空间形态战略性的创新和突破。所有项目将落实“三生”“三创”“三平衡”要求。</w:t>
            </w:r>
          </w:p>
        </w:tc>
      </w:tr>
      <w:tr w14:paraId="38E1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6AC8C23">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2710A859">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363ABDF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规划和自然资源局会同我局于2025年1月印发“工业上楼”3.0政策，其中明确“（十二）强化配套设施管理。工业上楼”项目用地的配套设施建设应符合《深标》规定，即普通工业用地主导用途（厂房）的建筑面积不低于总建筑面积的70%，其它用途(仓库、小型商业、宿舍、可附设的市政设施、可附设的交通设施、其它配套辅助设施)的建筑面积不高于总建筑面积的30%”。</w:t>
            </w:r>
          </w:p>
        </w:tc>
      </w:tr>
      <w:tr w14:paraId="48283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08B2F23">
            <w:pPr>
              <w:spacing w:line="400" w:lineRule="exact"/>
              <w:ind w:firstLine="422" w:firstLineChars="200"/>
              <w:jc w:val="center"/>
              <w:rPr>
                <w:rFonts w:ascii="Calibri" w:hAnsi="Calibri" w:eastAsia="宋体" w:cs="Times New Roman"/>
                <w:b/>
              </w:rPr>
            </w:pPr>
          </w:p>
        </w:tc>
        <w:tc>
          <w:tcPr>
            <w:tcW w:w="2118" w:type="dxa"/>
            <w:gridSpan w:val="2"/>
            <w:vAlign w:val="center"/>
          </w:tcPr>
          <w:p w14:paraId="5B8AE5D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5E47BBA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1.加大招引符合“20+8”产业集群的检验检测企业入驻“工业上楼”新园区，同时会同各区、各相关单位推动检验检测人才集聚。</w:t>
            </w:r>
          </w:p>
        </w:tc>
      </w:tr>
      <w:tr w14:paraId="3BBCF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62C254C">
            <w:pPr>
              <w:spacing w:line="400" w:lineRule="exact"/>
              <w:ind w:firstLine="422" w:firstLineChars="200"/>
              <w:jc w:val="center"/>
              <w:rPr>
                <w:rFonts w:ascii="Calibri" w:hAnsi="Calibri" w:eastAsia="宋体" w:cs="Times New Roman"/>
                <w:b/>
              </w:rPr>
            </w:pPr>
          </w:p>
        </w:tc>
        <w:tc>
          <w:tcPr>
            <w:tcW w:w="2118" w:type="dxa"/>
            <w:gridSpan w:val="2"/>
            <w:vAlign w:val="center"/>
          </w:tcPr>
          <w:p w14:paraId="5A3A497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14EED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C92E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6"/>
          </w:tcPr>
          <w:p w14:paraId="5BF5020F">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531262CF">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尊敬的陈克胜代表：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市政协办公厅转来市政协七届五次会议第20250424号建议《关于加大对检验检测行业发展空间支持力度的提案》收悉。非常感谢您对产业空间发展的关心与支持。经认真研究，现答复如下：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关于您在提案中所提到的“建议1、建议市工信等产业部门加大对检验检测行业产业空间支持力度”，我局会同有关部门围绕“产业空间与产业发展需求”等问题积极探索符合深圳市的制造业空间需求并加大对制造业空间的支持。具体推动以下工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一、实施“工业上楼”计划</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在我市实施“工业上楼”计划以来，各单位始终围绕“20+8”产业集群发展，依托20大先进制造业园区，打造“垂直工厂”，规模化提供优质、低成本的城市产业基础设施，该计划是深圳在制造业高质量发展新格局和厂房空间资源紧缺的双重背景下，城市空间形态战略性的创新和突破。所有项目将落实“三生”“三创”“三平衡”要求，一是生产、生活、生态“三生融合”，职住平衡、产城融合、生产空间高质、生活空间便利、生态环境优美。以人才为导向，留有足够的高标准厂房，并配有研发办公、居住生活、休闲购物、运动健身、绿化等空间。二是创新、创业、创投“三创结合”，激发年轻人创新活力，打造创新城区，形成浓厚的草根创业创新氛围，吸引社会资本，孵化大量初创企业。三是运营与财务、投入与产出、社会效益与经济效益“三个平衡”，实现供给可持续，租金可预期，经验可复制。</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二、出台“工业上楼”政策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市规划和自然资源局会同我局于2025年1月印发“工业上楼”3.0政策，其中明确“（十二）强化配套设施管理。工业上楼”项目用地的配套设施建设应符合《深标》规定，即普通工业用地主导用途（厂房）的建筑面积不低于总建筑面积的70%，其它用途(仓库、小型商业、宿舍、可附设的市政设施、可附设的交通设施、其它配套辅助设施)的建筑面积不高于总建筑面积的30%”。同时，加大招引符合“20+8”产业集群的检验检测企业入驻“工业上楼”新园区，同时会同各区、各相关单位推动检验检测人才集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再次感谢您对产业空间发展的关心与支持！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2025年8月7日</w:t>
            </w:r>
          </w:p>
          <w:p w14:paraId="72C0F3AB">
            <w:pPr>
              <w:spacing w:line="400" w:lineRule="exact"/>
              <w:rPr>
                <w:rFonts w:ascii="宋体" w:hAnsi="宋体" w:eastAsia="宋体" w:cs="Times New Roman"/>
                <w:bCs/>
                <w:color w:val="000000"/>
                <w:sz w:val="24"/>
                <w:szCs w:val="24"/>
              </w:rPr>
            </w:pPr>
          </w:p>
          <w:p w14:paraId="49E4AD19">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394E5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6"/>
          </w:tcPr>
          <w:p w14:paraId="4F746849">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479D46FA">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5832F15">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28AC6553">
            <w:pPr>
              <w:spacing w:line="400" w:lineRule="exact"/>
              <w:rPr>
                <w:rFonts w:ascii="宋体" w:hAnsi="宋体" w:eastAsia="宋体" w:cs="Times New Roman"/>
                <w:color w:val="000000"/>
                <w:sz w:val="24"/>
                <w:szCs w:val="24"/>
              </w:rPr>
            </w:pPr>
          </w:p>
        </w:tc>
      </w:tr>
      <w:tr w14:paraId="279EA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84" w:type="dxa"/>
            <w:gridSpan w:val="2"/>
            <w:vAlign w:val="center"/>
          </w:tcPr>
          <w:p w14:paraId="0FCC1500">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联系人</w:t>
            </w:r>
          </w:p>
        </w:tc>
        <w:tc>
          <w:tcPr>
            <w:tcW w:w="2297" w:type="dxa"/>
            <w:gridSpan w:val="2"/>
            <w:vAlign w:val="center"/>
          </w:tcPr>
          <w:p w14:paraId="7F0C856D">
            <w:pPr>
              <w:spacing w:line="400" w:lineRule="exact"/>
              <w:rPr>
                <w:rFonts w:hint="eastAsia" w:ascii="仿宋" w:hAnsi="仿宋" w:eastAsia="仿宋" w:cs="仿宋"/>
                <w:bCs/>
                <w:color w:val="000000"/>
                <w:sz w:val="24"/>
                <w:szCs w:val="24"/>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范帅</w:t>
            </w:r>
          </w:p>
        </w:tc>
        <w:tc>
          <w:tcPr>
            <w:tcW w:w="1559" w:type="dxa"/>
            <w:vAlign w:val="center"/>
          </w:tcPr>
          <w:p w14:paraId="41B5DB51">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联系电话</w:t>
            </w:r>
          </w:p>
        </w:tc>
        <w:tc>
          <w:tcPr>
            <w:tcW w:w="3282" w:type="dxa"/>
          </w:tcPr>
          <w:p w14:paraId="4CE7E47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13823210465</w:t>
            </w:r>
          </w:p>
        </w:tc>
      </w:tr>
    </w:tbl>
    <w:p w14:paraId="475A7CBC">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99"/>
        <w:gridCol w:w="1319"/>
        <w:gridCol w:w="978"/>
        <w:gridCol w:w="1559"/>
        <w:gridCol w:w="3282"/>
      </w:tblGrid>
      <w:tr w14:paraId="03F8D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6"/>
            <w:vAlign w:val="center"/>
          </w:tcPr>
          <w:p w14:paraId="0869BE18">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龙华区人民政府(分办)关于对20250424号提案的答复清单</w:t>
            </w:r>
          </w:p>
        </w:tc>
      </w:tr>
      <w:tr w14:paraId="59786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45E92665">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gridSpan w:val="2"/>
            <w:vAlign w:val="center"/>
          </w:tcPr>
          <w:p w14:paraId="4507C44A">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gridSpan w:val="3"/>
          </w:tcPr>
          <w:p w14:paraId="14713820">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全市各区产业规划部门优化检验检测项目遴选参考指标。</w:t>
            </w:r>
          </w:p>
        </w:tc>
      </w:tr>
      <w:tr w14:paraId="56F5B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2CFA413">
            <w:pPr>
              <w:spacing w:line="400" w:lineRule="exact"/>
              <w:jc w:val="center"/>
              <w:rPr>
                <w:rFonts w:ascii="Calibri" w:hAnsi="Calibri" w:eastAsia="宋体" w:cs="Times New Roman"/>
                <w:b/>
              </w:rPr>
            </w:pPr>
          </w:p>
        </w:tc>
        <w:tc>
          <w:tcPr>
            <w:tcW w:w="2118" w:type="dxa"/>
            <w:gridSpan w:val="2"/>
            <w:vAlign w:val="center"/>
          </w:tcPr>
          <w:p w14:paraId="4D2EC41B">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68EA652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根据《深圳市工业及其他产业用地供应管理办法》（深府规〔2019〕4号）的相关规定，龙华区产业用地供应遵循“先遴选，再供应”模式进行。针对提案建议，我区明确允许机构采用联合和抱团方式申请产业用地。</w:t>
            </w:r>
          </w:p>
        </w:tc>
      </w:tr>
      <w:tr w14:paraId="197E8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2D05F223">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5B9BD86C">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0292FCD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D305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6904DFFD">
            <w:pPr>
              <w:spacing w:line="400" w:lineRule="exact"/>
              <w:ind w:firstLine="422" w:firstLineChars="200"/>
              <w:jc w:val="center"/>
              <w:rPr>
                <w:rFonts w:ascii="Calibri" w:hAnsi="Calibri" w:eastAsia="宋体" w:cs="Times New Roman"/>
                <w:b/>
              </w:rPr>
            </w:pPr>
          </w:p>
        </w:tc>
        <w:tc>
          <w:tcPr>
            <w:tcW w:w="2118" w:type="dxa"/>
            <w:gridSpan w:val="2"/>
            <w:vAlign w:val="center"/>
          </w:tcPr>
          <w:p w14:paraId="6C2F7EA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7F738E4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F357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2DE79B02">
            <w:pPr>
              <w:spacing w:line="400" w:lineRule="exact"/>
              <w:ind w:firstLine="422" w:firstLineChars="200"/>
              <w:jc w:val="center"/>
              <w:rPr>
                <w:rFonts w:ascii="Calibri" w:hAnsi="Calibri" w:eastAsia="宋体" w:cs="Times New Roman"/>
                <w:b/>
              </w:rPr>
            </w:pPr>
          </w:p>
        </w:tc>
        <w:tc>
          <w:tcPr>
            <w:tcW w:w="2118" w:type="dxa"/>
            <w:gridSpan w:val="2"/>
            <w:vAlign w:val="center"/>
          </w:tcPr>
          <w:p w14:paraId="5F502F2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158C310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C644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E10BAD6">
            <w:pPr>
              <w:spacing w:line="400" w:lineRule="exact"/>
              <w:ind w:firstLine="422" w:firstLineChars="200"/>
              <w:jc w:val="center"/>
              <w:rPr>
                <w:rFonts w:ascii="Calibri" w:hAnsi="Calibri" w:eastAsia="宋体" w:cs="Times New Roman"/>
                <w:b/>
              </w:rPr>
            </w:pPr>
          </w:p>
        </w:tc>
        <w:tc>
          <w:tcPr>
            <w:tcW w:w="2118" w:type="dxa"/>
            <w:gridSpan w:val="2"/>
            <w:vAlign w:val="center"/>
          </w:tcPr>
          <w:p w14:paraId="7D257FB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gridSpan w:val="3"/>
            <w:vAlign w:val="center"/>
          </w:tcPr>
          <w:p w14:paraId="3A2A81B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建议宝安、龙华、光明等区建立检验检测产业园。</w:t>
            </w:r>
          </w:p>
        </w:tc>
      </w:tr>
      <w:tr w14:paraId="235AB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8E7D734">
            <w:pPr>
              <w:spacing w:line="400" w:lineRule="exact"/>
              <w:jc w:val="center"/>
              <w:rPr>
                <w:rFonts w:ascii="Calibri" w:hAnsi="Calibri" w:eastAsia="宋体" w:cs="Times New Roman"/>
                <w:b/>
              </w:rPr>
            </w:pPr>
          </w:p>
        </w:tc>
        <w:tc>
          <w:tcPr>
            <w:tcW w:w="2118" w:type="dxa"/>
            <w:gridSpan w:val="2"/>
            <w:vAlign w:val="center"/>
          </w:tcPr>
          <w:p w14:paraId="02E80608">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66C23C2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FF7F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89A1F10">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5F4AFD2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44BE462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目前龙华区检验检测机构分布较散，暂不具备建立检验检测产业园条件，但龙华区已积极引进国际知名、国家级检验检测认证机构落户龙华（如必维华法检测、威凯检测、方圆标志认证集团等），同时初步形成了以银星科技园为代表的检验检测机构落户较多园区。后续，龙华区将配合市有关规划部门，大力支持汇聚检验检测机构的园区建设。</w:t>
            </w:r>
          </w:p>
        </w:tc>
      </w:tr>
      <w:tr w14:paraId="7F0E8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C9EAEBD">
            <w:pPr>
              <w:spacing w:line="400" w:lineRule="exact"/>
              <w:ind w:firstLine="422" w:firstLineChars="200"/>
              <w:jc w:val="center"/>
              <w:rPr>
                <w:rFonts w:ascii="Calibri" w:hAnsi="Calibri" w:eastAsia="宋体" w:cs="Times New Roman"/>
                <w:b/>
              </w:rPr>
            </w:pPr>
          </w:p>
        </w:tc>
        <w:tc>
          <w:tcPr>
            <w:tcW w:w="2118" w:type="dxa"/>
            <w:gridSpan w:val="2"/>
            <w:vAlign w:val="center"/>
          </w:tcPr>
          <w:p w14:paraId="35E7039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59D1181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3226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DE9B606">
            <w:pPr>
              <w:spacing w:line="400" w:lineRule="exact"/>
              <w:ind w:firstLine="422" w:firstLineChars="200"/>
              <w:jc w:val="center"/>
              <w:rPr>
                <w:rFonts w:ascii="Calibri" w:hAnsi="Calibri" w:eastAsia="宋体" w:cs="Times New Roman"/>
                <w:b/>
              </w:rPr>
            </w:pPr>
          </w:p>
        </w:tc>
        <w:tc>
          <w:tcPr>
            <w:tcW w:w="2118" w:type="dxa"/>
            <w:gridSpan w:val="2"/>
            <w:vAlign w:val="center"/>
          </w:tcPr>
          <w:p w14:paraId="1FF1361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31426F9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E359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44E3BB1">
            <w:pPr>
              <w:spacing w:line="400" w:lineRule="exact"/>
              <w:ind w:firstLine="422" w:firstLineChars="200"/>
              <w:jc w:val="center"/>
              <w:rPr>
                <w:rFonts w:ascii="Calibri" w:hAnsi="Calibri" w:eastAsia="宋体" w:cs="Times New Roman"/>
                <w:b/>
              </w:rPr>
            </w:pPr>
          </w:p>
        </w:tc>
        <w:tc>
          <w:tcPr>
            <w:tcW w:w="2118" w:type="dxa"/>
            <w:gridSpan w:val="2"/>
            <w:vAlign w:val="center"/>
          </w:tcPr>
          <w:p w14:paraId="19F2F5B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gridSpan w:val="3"/>
            <w:vAlign w:val="center"/>
          </w:tcPr>
          <w:p w14:paraId="2774C3D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建议市工信等产业部门加大对检验检测行业产业空间支持力度。</w:t>
            </w:r>
          </w:p>
        </w:tc>
      </w:tr>
      <w:tr w14:paraId="767D5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7847012">
            <w:pPr>
              <w:spacing w:line="400" w:lineRule="exact"/>
              <w:jc w:val="center"/>
              <w:rPr>
                <w:rFonts w:ascii="Calibri" w:hAnsi="Calibri" w:eastAsia="宋体" w:cs="Times New Roman"/>
                <w:b/>
              </w:rPr>
            </w:pPr>
          </w:p>
        </w:tc>
        <w:tc>
          <w:tcPr>
            <w:tcW w:w="2118" w:type="dxa"/>
            <w:gridSpan w:val="2"/>
            <w:vAlign w:val="center"/>
          </w:tcPr>
          <w:p w14:paraId="45DA7176">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549E674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1.1.龙华区已编制印发《龙华区第一批政府国企租赁类“工业上楼”试点项目企业准入操作指引(试行)》,为第一批国企类工业上楼项目企业入驻提供政策指引。</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2.龙华区在政府官方网站常态化征集工业上楼意向租赁企业,助力“工业上楼”项目方开展预招商。</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3.龙华区积极组织开展“工业上楼”政策宣传与空间资源对接工作，已举办首批“工业上楼”试点项目对接活动,共达成入驻意向企业四批次18家,推动实现优质企业与优质空间的</w:t>
            </w:r>
          </w:p>
        </w:tc>
      </w:tr>
      <w:tr w14:paraId="7D38F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40C83C2">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7FDAB52B">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4CCA277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5AE8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5D0E36B">
            <w:pPr>
              <w:spacing w:line="400" w:lineRule="exact"/>
              <w:ind w:firstLine="422" w:firstLineChars="200"/>
              <w:jc w:val="center"/>
              <w:rPr>
                <w:rFonts w:ascii="Calibri" w:hAnsi="Calibri" w:eastAsia="宋体" w:cs="Times New Roman"/>
                <w:b/>
              </w:rPr>
            </w:pPr>
          </w:p>
        </w:tc>
        <w:tc>
          <w:tcPr>
            <w:tcW w:w="2118" w:type="dxa"/>
            <w:gridSpan w:val="2"/>
            <w:vAlign w:val="center"/>
          </w:tcPr>
          <w:p w14:paraId="3E4B44F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1E33E7C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8ECD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EB5F788">
            <w:pPr>
              <w:spacing w:line="400" w:lineRule="exact"/>
              <w:ind w:firstLine="422" w:firstLineChars="200"/>
              <w:jc w:val="center"/>
              <w:rPr>
                <w:rFonts w:ascii="Calibri" w:hAnsi="Calibri" w:eastAsia="宋体" w:cs="Times New Roman"/>
                <w:b/>
              </w:rPr>
            </w:pPr>
          </w:p>
        </w:tc>
        <w:tc>
          <w:tcPr>
            <w:tcW w:w="2118" w:type="dxa"/>
            <w:gridSpan w:val="2"/>
            <w:vAlign w:val="center"/>
          </w:tcPr>
          <w:p w14:paraId="72F88F4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13338EC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9D5D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6"/>
          </w:tcPr>
          <w:p w14:paraId="089858BD">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548EDB00">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无</w:t>
            </w:r>
          </w:p>
          <w:p w14:paraId="04E7894B">
            <w:pPr>
              <w:spacing w:line="400" w:lineRule="exact"/>
              <w:rPr>
                <w:rFonts w:ascii="宋体" w:hAnsi="宋体" w:eastAsia="宋体" w:cs="Times New Roman"/>
                <w:bCs/>
                <w:color w:val="000000"/>
                <w:sz w:val="24"/>
                <w:szCs w:val="24"/>
              </w:rPr>
            </w:pPr>
          </w:p>
          <w:p w14:paraId="2CC3C1DB">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9B49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6"/>
          </w:tcPr>
          <w:p w14:paraId="50FE920C">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BC9291D">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180383F9">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6D0D66EC">
            <w:pPr>
              <w:spacing w:line="400" w:lineRule="exact"/>
              <w:rPr>
                <w:rFonts w:ascii="宋体" w:hAnsi="宋体" w:eastAsia="宋体" w:cs="Times New Roman"/>
                <w:color w:val="000000"/>
                <w:sz w:val="24"/>
                <w:szCs w:val="24"/>
              </w:rPr>
            </w:pPr>
          </w:p>
        </w:tc>
      </w:tr>
      <w:tr w14:paraId="58684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84" w:type="dxa"/>
            <w:gridSpan w:val="2"/>
            <w:vAlign w:val="center"/>
          </w:tcPr>
          <w:p w14:paraId="32A655CA">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联系人</w:t>
            </w:r>
          </w:p>
        </w:tc>
        <w:tc>
          <w:tcPr>
            <w:tcW w:w="2297" w:type="dxa"/>
            <w:gridSpan w:val="2"/>
            <w:vAlign w:val="center"/>
          </w:tcPr>
          <w:p w14:paraId="6FAF424A">
            <w:pPr>
              <w:spacing w:line="400" w:lineRule="exact"/>
              <w:rPr>
                <w:rFonts w:hint="eastAsia" w:ascii="仿宋" w:hAnsi="仿宋" w:eastAsia="仿宋" w:cs="仿宋"/>
                <w:bCs/>
                <w:color w:val="000000"/>
                <w:sz w:val="24"/>
                <w:szCs w:val="24"/>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庄树颖</w:t>
            </w:r>
          </w:p>
        </w:tc>
        <w:tc>
          <w:tcPr>
            <w:tcW w:w="1559" w:type="dxa"/>
            <w:vAlign w:val="center"/>
          </w:tcPr>
          <w:p w14:paraId="78A934B5">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联系电话</w:t>
            </w:r>
          </w:p>
        </w:tc>
        <w:tc>
          <w:tcPr>
            <w:tcW w:w="3282" w:type="dxa"/>
          </w:tcPr>
          <w:p w14:paraId="561B5BF6">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23330399</w:t>
            </w:r>
          </w:p>
        </w:tc>
      </w:tr>
    </w:tbl>
    <w:p w14:paraId="2FF412F6">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772E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32A80E0F">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宝安区人民政府(分办)关于对20250424号提案的答复清单</w:t>
            </w:r>
          </w:p>
        </w:tc>
      </w:tr>
      <w:tr w14:paraId="50446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40AD6540">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0F83B5F6">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69CFEA49">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全市各区产业规划部门优化检验检测项目遴选参考指标。</w:t>
            </w:r>
          </w:p>
        </w:tc>
      </w:tr>
      <w:tr w14:paraId="5C207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4BE3EC3">
            <w:pPr>
              <w:spacing w:line="400" w:lineRule="exact"/>
              <w:jc w:val="center"/>
              <w:rPr>
                <w:rFonts w:ascii="Calibri" w:hAnsi="Calibri" w:eastAsia="宋体" w:cs="Times New Roman"/>
                <w:b/>
              </w:rPr>
            </w:pPr>
          </w:p>
        </w:tc>
        <w:tc>
          <w:tcPr>
            <w:tcW w:w="2118" w:type="dxa"/>
            <w:vAlign w:val="center"/>
          </w:tcPr>
          <w:p w14:paraId="6E70E96A">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565646D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目前宝安区印发了《宝安区创新型产业用房管理办法（修订版）》，该类用房由政府主导并按政策出租，租金仅为同片区同档次房源的30%～70%，为我区优质产业空间，可有效降低企业初创或扩张成本，解决企业核心关切。检验检测行业作为向传统优势产业、重点产业提供生产性服务的现代服务业，产业遴选评定时将优先考虑，并在具备一定条件情况下以比参考价格优惠30%～70%的租金价格申请租赁创新型产业用房。</w:t>
            </w:r>
          </w:p>
        </w:tc>
      </w:tr>
      <w:tr w14:paraId="241D9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44D1AD70">
            <w:pPr>
              <w:spacing w:line="400" w:lineRule="exact"/>
              <w:ind w:firstLine="482" w:firstLineChars="200"/>
              <w:jc w:val="center"/>
              <w:rPr>
                <w:rFonts w:ascii="宋体" w:hAnsi="宋体" w:eastAsia="宋体" w:cs="Times New Roman"/>
                <w:b/>
                <w:sz w:val="24"/>
                <w:szCs w:val="24"/>
              </w:rPr>
            </w:pPr>
          </w:p>
        </w:tc>
        <w:tc>
          <w:tcPr>
            <w:tcW w:w="2118" w:type="dxa"/>
            <w:vAlign w:val="center"/>
          </w:tcPr>
          <w:p w14:paraId="2342EB9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8F7593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根据对检验检测机构的年度产值规模、是否专精特新企业、对宝安区经济发展的贡献或潜力等条件进行综合评估论证，为机构提供30%、50%、70%梯度比例的租金优惠；对首次承租机构可给予4-10个月的装修免租期，吸引优质检验检测机构入驻宝安区。</w:t>
            </w:r>
          </w:p>
        </w:tc>
      </w:tr>
      <w:tr w14:paraId="39BFE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665ECE68">
            <w:pPr>
              <w:spacing w:line="400" w:lineRule="exact"/>
              <w:ind w:firstLine="422" w:firstLineChars="200"/>
              <w:jc w:val="center"/>
              <w:rPr>
                <w:rFonts w:ascii="Calibri" w:hAnsi="Calibri" w:eastAsia="宋体" w:cs="Times New Roman"/>
                <w:b/>
              </w:rPr>
            </w:pPr>
          </w:p>
        </w:tc>
        <w:tc>
          <w:tcPr>
            <w:tcW w:w="2118" w:type="dxa"/>
            <w:vAlign w:val="center"/>
          </w:tcPr>
          <w:p w14:paraId="266A284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D6895C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014EE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0135119E">
            <w:pPr>
              <w:spacing w:line="400" w:lineRule="exact"/>
              <w:ind w:firstLine="422" w:firstLineChars="200"/>
              <w:jc w:val="center"/>
              <w:rPr>
                <w:rFonts w:ascii="Calibri" w:hAnsi="Calibri" w:eastAsia="宋体" w:cs="Times New Roman"/>
                <w:b/>
              </w:rPr>
            </w:pPr>
          </w:p>
        </w:tc>
        <w:tc>
          <w:tcPr>
            <w:tcW w:w="2118" w:type="dxa"/>
            <w:vAlign w:val="center"/>
          </w:tcPr>
          <w:p w14:paraId="7DA1D70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10966B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0586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FE1B9A7">
            <w:pPr>
              <w:spacing w:line="400" w:lineRule="exact"/>
              <w:ind w:firstLine="422" w:firstLineChars="200"/>
              <w:jc w:val="center"/>
              <w:rPr>
                <w:rFonts w:ascii="Calibri" w:hAnsi="Calibri" w:eastAsia="宋体" w:cs="Times New Roman"/>
                <w:b/>
              </w:rPr>
            </w:pPr>
          </w:p>
        </w:tc>
        <w:tc>
          <w:tcPr>
            <w:tcW w:w="2118" w:type="dxa"/>
            <w:vAlign w:val="center"/>
          </w:tcPr>
          <w:p w14:paraId="6922D3E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79EDC09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建议宝安、龙华、光明等区建立检验检测产业园。</w:t>
            </w:r>
          </w:p>
        </w:tc>
      </w:tr>
      <w:tr w14:paraId="0770D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1EB2162">
            <w:pPr>
              <w:spacing w:line="400" w:lineRule="exact"/>
              <w:jc w:val="center"/>
              <w:rPr>
                <w:rFonts w:ascii="Calibri" w:hAnsi="Calibri" w:eastAsia="宋体" w:cs="Times New Roman"/>
                <w:b/>
              </w:rPr>
            </w:pPr>
          </w:p>
        </w:tc>
        <w:tc>
          <w:tcPr>
            <w:tcW w:w="2118" w:type="dxa"/>
            <w:vAlign w:val="center"/>
          </w:tcPr>
          <w:p w14:paraId="6ECD87E8">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B8081B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1.2024年初，宝安区制定了《关于发展生产性服务业的三年行动计划（2024—2026年）》，对包括检验检测在内的生产性行业发展进行系统谋划，围绕制造链部署服务链，面向“20+8”重点产业，从检验检测等创新链关键环节发力，吸引全球科研机构和研发资源集聚，全力打造全国领先、世界一流的生产性服务业集聚高地、创新先锋、示范标杆，建成辐射力大、附加值高、品牌优势强的生产性服务业生态圈。</w:t>
            </w:r>
          </w:p>
        </w:tc>
      </w:tr>
      <w:tr w14:paraId="13D6D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607B489">
            <w:pPr>
              <w:spacing w:line="400" w:lineRule="exact"/>
              <w:ind w:firstLine="482" w:firstLineChars="200"/>
              <w:jc w:val="center"/>
              <w:rPr>
                <w:rFonts w:ascii="宋体" w:hAnsi="宋体" w:eastAsia="宋体" w:cs="Times New Roman"/>
                <w:b/>
                <w:sz w:val="24"/>
                <w:szCs w:val="24"/>
              </w:rPr>
            </w:pPr>
          </w:p>
        </w:tc>
        <w:tc>
          <w:tcPr>
            <w:tcW w:w="2118" w:type="dxa"/>
            <w:vAlign w:val="center"/>
          </w:tcPr>
          <w:p w14:paraId="16726621">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24FDCF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1.2025年以来，组织开展6场次检验检测机构与生产企业的供需对接会，惠及企业440家次，促进宝安区生产企业与检验检测公司的业务交流，帮助生产企业提质升级，推动服务业与制造业与创新协同发展。</w:t>
            </w:r>
          </w:p>
        </w:tc>
      </w:tr>
      <w:tr w14:paraId="3495B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ED14F5C">
            <w:pPr>
              <w:spacing w:line="400" w:lineRule="exact"/>
              <w:ind w:firstLine="422" w:firstLineChars="200"/>
              <w:jc w:val="center"/>
              <w:rPr>
                <w:rFonts w:ascii="Calibri" w:hAnsi="Calibri" w:eastAsia="宋体" w:cs="Times New Roman"/>
                <w:b/>
              </w:rPr>
            </w:pPr>
          </w:p>
        </w:tc>
        <w:tc>
          <w:tcPr>
            <w:tcW w:w="2118" w:type="dxa"/>
            <w:vAlign w:val="center"/>
          </w:tcPr>
          <w:p w14:paraId="0538344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AE7477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4762E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38FBAB9">
            <w:pPr>
              <w:spacing w:line="400" w:lineRule="exact"/>
              <w:ind w:firstLine="422" w:firstLineChars="200"/>
              <w:jc w:val="center"/>
              <w:rPr>
                <w:rFonts w:ascii="Calibri" w:hAnsi="Calibri" w:eastAsia="宋体" w:cs="Times New Roman"/>
                <w:b/>
              </w:rPr>
            </w:pPr>
          </w:p>
        </w:tc>
        <w:tc>
          <w:tcPr>
            <w:tcW w:w="2118" w:type="dxa"/>
            <w:vAlign w:val="center"/>
          </w:tcPr>
          <w:p w14:paraId="53CF172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4C9C82E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B9E5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E20BD6F">
            <w:pPr>
              <w:spacing w:line="400" w:lineRule="exact"/>
              <w:ind w:firstLine="422" w:firstLineChars="200"/>
              <w:jc w:val="center"/>
              <w:rPr>
                <w:rFonts w:ascii="Calibri" w:hAnsi="Calibri" w:eastAsia="宋体" w:cs="Times New Roman"/>
                <w:b/>
              </w:rPr>
            </w:pPr>
          </w:p>
        </w:tc>
        <w:tc>
          <w:tcPr>
            <w:tcW w:w="2118" w:type="dxa"/>
            <w:vAlign w:val="center"/>
          </w:tcPr>
          <w:p w14:paraId="39C3F2F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40B6F34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建议市工信等产业部门加大对检验检测行业产业空间支持力度。</w:t>
            </w:r>
          </w:p>
        </w:tc>
      </w:tr>
      <w:tr w14:paraId="42848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ADA4189">
            <w:pPr>
              <w:spacing w:line="400" w:lineRule="exact"/>
              <w:jc w:val="center"/>
              <w:rPr>
                <w:rFonts w:ascii="Calibri" w:hAnsi="Calibri" w:eastAsia="宋体" w:cs="Times New Roman"/>
                <w:b/>
              </w:rPr>
            </w:pPr>
          </w:p>
        </w:tc>
        <w:tc>
          <w:tcPr>
            <w:tcW w:w="2118" w:type="dxa"/>
            <w:vAlign w:val="center"/>
          </w:tcPr>
          <w:p w14:paraId="01175078">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30FB2F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1.不涉及宝安区事项</w:t>
            </w:r>
          </w:p>
        </w:tc>
      </w:tr>
      <w:tr w14:paraId="051A5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97780A1">
            <w:pPr>
              <w:spacing w:line="400" w:lineRule="exact"/>
              <w:ind w:firstLine="482" w:firstLineChars="200"/>
              <w:jc w:val="center"/>
              <w:rPr>
                <w:rFonts w:ascii="宋体" w:hAnsi="宋体" w:eastAsia="宋体" w:cs="Times New Roman"/>
                <w:b/>
                <w:sz w:val="24"/>
                <w:szCs w:val="24"/>
              </w:rPr>
            </w:pPr>
          </w:p>
        </w:tc>
        <w:tc>
          <w:tcPr>
            <w:tcW w:w="2118" w:type="dxa"/>
            <w:vAlign w:val="center"/>
          </w:tcPr>
          <w:p w14:paraId="39DEACC4">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B7E17D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1.不涉及宝安区事项</w:t>
            </w:r>
          </w:p>
        </w:tc>
      </w:tr>
      <w:tr w14:paraId="79F74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4568D36">
            <w:pPr>
              <w:spacing w:line="400" w:lineRule="exact"/>
              <w:ind w:firstLine="422" w:firstLineChars="200"/>
              <w:jc w:val="center"/>
              <w:rPr>
                <w:rFonts w:ascii="Calibri" w:hAnsi="Calibri" w:eastAsia="宋体" w:cs="Times New Roman"/>
                <w:b/>
              </w:rPr>
            </w:pPr>
          </w:p>
        </w:tc>
        <w:tc>
          <w:tcPr>
            <w:tcW w:w="2118" w:type="dxa"/>
            <w:vAlign w:val="center"/>
          </w:tcPr>
          <w:p w14:paraId="75C836D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4995FEE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1.不涉及宝安区事项</w:t>
            </w:r>
          </w:p>
        </w:tc>
      </w:tr>
      <w:tr w14:paraId="525E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3C411AF">
            <w:pPr>
              <w:spacing w:line="400" w:lineRule="exact"/>
              <w:ind w:firstLine="422" w:firstLineChars="200"/>
              <w:jc w:val="center"/>
              <w:rPr>
                <w:rFonts w:ascii="Calibri" w:hAnsi="Calibri" w:eastAsia="宋体" w:cs="Times New Roman"/>
                <w:b/>
              </w:rPr>
            </w:pPr>
          </w:p>
        </w:tc>
        <w:tc>
          <w:tcPr>
            <w:tcW w:w="2118" w:type="dxa"/>
            <w:vAlign w:val="center"/>
          </w:tcPr>
          <w:p w14:paraId="571BD43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64874D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132B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0F63E05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128BC487">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一、办理过程：6月23日，宝安市场监管局已通过微信与委员沟通，委员答复满意。</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二、答复函：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A</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深圳市宝安区人民政府关于市政协七届五次会议第20250424号提案的答复函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尊敬的陈克胜委员：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《关于加大对检验检测行业发展空间支持力度的提案》收悉。经认真研究，现就提案办理有关情况答复如下：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一、基本情况</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宝安区高度重视检验检测行业发展，积极推动检验检测行业专业化、规模化发展，加快现代化产业体系建设。目前，宝安检验检测行业总体规模居全市第一，已集聚获得资质认定认可证书的检验检测机构270家，其中获得CMA资质认定检验检测机构236家，约占全市四分之一，总量排名第一。其中规上企业67家，2024年营收38.6亿元，营收约占全市24.56%。全市质检技术服务业十强企业中，宝安2家（华测检测认证集团、普瑞赛思检测公司），其中华测检测认证集团营收规模全市排名第二。</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二、意见建议采纳落实情况</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（一）针对提案建议一“全市各区产业规划部门优化检验检测项目遴选参考指标”，答复如下：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目前宝安区印发了《宝安区创新型产业用房管理办法（修订版）》，创新型产业用房是指为满足宝安区创新型企业（机构）发展空间需求，该类用房由政府主导并按政策出租，租金仅为同片区同档次房源的30%～70%，为我区优质产业空间，可有效降低企业初创或扩张成本，解决企业核心关切。</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检验检测行业作为向传统优势产业、重点产业提供生产性服务的现代服务业，产业遴选评定时将优先考虑，并在具备一定条件情况下以比参考价格优惠30%～70%的租金价格申请租赁创新型产业用房。根据对检验检测机构的年度产值规模、是否专精特新企业、对宝安区经济发展的贡献或潜力等条件进行综合评估论证，为机构提供30%、50%、70%梯度比例的租金优惠；对首次承租机构可给予4-10个月的装修免租期，吸引优质检验检测机构入驻宝安区；已入驻机构可申请调增租赁面积或重新遴选调整租赁价格，最大程度地解决头部、优质检验检测机构的产业用地问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（二）针对提案建议二“建议宝安、龙华、光明等区建立检验检测产业园”，答复如下：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2024年初，宝安区制定了《关于发展生产性服务业的三年行动计划（2024—2026年）》，对包括检验检测在内的生产性行业发展进行系统谋划，围绕制造链部署服务链，面向“20+8”重点产业，从检验检测等创新链关键环节发力，吸引全球科研机构和研发资源集聚，全力打造全国领先、世界一流的生产性服务业集聚高地、创新先锋、示范标杆，建成辐射力大、附加值高、品牌优势强的生产性服务业生态圈。一是打造检验检测服务业示范园区。根据宝安区重点产业集群发展需求和区域发展规划，在宝安区新安街道兴东片区打造检验检测服务业示范园区，大力推动检验检测行业集聚发展，吸引检验检测机构入驻，提升检验检测机构支撑产业发展的综合服务能力和效率。二是发挥科产资金激励作用。推动完善配套政策措施，开展标准奖励资助、科学研究和技术服务业奖励、企业研发投入补贴、创新平台建设项目等奖励项目，推动检验检测机构加大研发投入，推动宝安检验检测行业高质量发展。三是深入落实企业服务机制。持续开展助“龙”计划服务企业活动，一对一了解企业发展规划、解决企业问题诉求，扩大检验检测行业营收增量。2025年以来，组织开展6场次检验检测机构与生产企业的供需对接会，惠及企业440家次，促进宝安区生产企业与检验检测公司的业务交流，帮助生产企业提质升级，推动服务业与制造业与创新协同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经过多年的发展，宝安区检验检测企业数量快速增长，行业实现聚集发展。辖区获得CMA资质认定的检验检测企业数量从2020年的140家，增长至236家，出具报告数量、从业人员、仪器设备资产原值等均呈现稳步增长态势。2024年宝安区获得资质认定检验检测机构出具检验检测报告增至140万余份，相比2023年增长12%。2024年宝安区质检技术服务业规上企业营收达38.6亿元，同比增长17.6%，增速较上一年度提升2.8倍（2023年增速为4.63%）；2024年宝安区新增纳统检验检测企业8家，数量全市第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三、下一步工作计划</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（一）加强检验检测行业服务力度。通过深入企业开展上门服务，进一步推动检验检测、认证行业高质量发展，促进技术服务业平稳运行，提升检验检测机构支撑产业发展的综合服务能力和效率。</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强化检验检测能力供给。推动检验检测机构抢抓电化学储能、“超充”、汽车芯片以及人工智能等产业发展机遇，抓紧完善相关领域的检测能力，分领域分类别开设专场检验检测供需对接系列活动，促进宝安区生产企业与检验检测公司的业务交流，扩展业务订单机会，推动宝安区检验检测机构营收增长。</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（三）推动协同创新平台建设。鼓励检验检测企业打造高水平质量基础设施的公共检测平台和协同创新平台，拓展新兴产业检测业务，更好服务先进制造业需求。</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（四）加大产业空间等政策支持。加大扶持力度，对于重点引进的检验检测机构或市主管部门重点推荐的检验检测机构，按有关规定在产业空间、研发投入、设备购置等方面予以支持保障。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最后，非常感谢委员的建言献策，欢迎继续对我们的工作提出宝贵意见和建议。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深圳市宝安区人民政府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2025年8月21日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（联系人：崔艳艳，电话：27836383，18948710301）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公开方式：依申请公开</w:t>
            </w:r>
          </w:p>
          <w:p w14:paraId="17AD6C11">
            <w:pPr>
              <w:spacing w:line="400" w:lineRule="exact"/>
              <w:rPr>
                <w:rFonts w:ascii="宋体" w:hAnsi="宋体" w:eastAsia="宋体" w:cs="Times New Roman"/>
                <w:bCs/>
                <w:color w:val="000000"/>
                <w:sz w:val="24"/>
                <w:szCs w:val="24"/>
              </w:rPr>
            </w:pPr>
          </w:p>
          <w:p w14:paraId="351610C2">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400D5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6C0C3B12">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2C72FD23">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752CA0E4">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259761C1">
            <w:pPr>
              <w:spacing w:line="400" w:lineRule="exact"/>
              <w:rPr>
                <w:rFonts w:ascii="宋体" w:hAnsi="宋体" w:eastAsia="宋体" w:cs="Times New Roman"/>
                <w:color w:val="000000"/>
                <w:sz w:val="24"/>
                <w:szCs w:val="24"/>
              </w:rPr>
            </w:pPr>
          </w:p>
        </w:tc>
      </w:tr>
    </w:tbl>
    <w:p w14:paraId="61970102">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2A09FF"/>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8891</Words>
  <Characters>9281</Characters>
  <Lines>1</Lines>
  <Paragraphs>1</Paragraphs>
  <TotalTime>42</TotalTime>
  <ScaleCrop>false</ScaleCrop>
  <LinksUpToDate>false</LinksUpToDate>
  <CharactersWithSpaces>9747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2025-11-06T04:42:29Z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