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关于深化国产人工智能大模型在深圳工商业领域创新应用的建议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张伟</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20250542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市科技创新局,市教育局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一、背景</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在全球新一轮科技革命和产业变革的浪潮中，人工智能已成为推动经济社会发展的关键力量。DeepSeek、豆包等国产大模型作为先进的人工智能技术代表，具备强大的语言理解、生成能力以及多领域应用潜力。深圳作为我国科技创新的前沿阵地，工商业发达，在推动人工智能技术与实体经济深度融合方面具有显著优势和迫切需求。近期深圳市已全面部署DeepSeek大模型，政务、医疗、教育等领域应用成效显著（如福田区70名“数智员工”覆盖240个政务场景）。为响应中央“人工智能与实体经济深度融合”的号召，建议聚焦工商业实体经济需求，推动DeepSeek等国产人工智能大模型在产业升级中的创新应用，助力深圳打造全球人工智能产业高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二、目前存在的短板和挑战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但目前深圳工商业实体经济领域对 DeepSeek等人工智能技术的应用仍处于起步阶段，存在应用范围有限、应用深度不足、中小企业应用门槛高、人才适配性不足等问题。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 基础研究与核心技术短板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的科技创新更多聚焦于应用层面，而在AI基础算法、大模型底层架构等领域的原始创新仍显薄弱。整体上与北京、杭州等相比，基础研究投入和高校科研院所的合作深度仍有差距。“AI+制造、服务”模式短期应用收益与长期基础研究的协同机制尚未完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 人才储备与结构失衡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深圳的高房价和生活成本削弱了人才吸引力，部分初创团队外迁。企业学习DeepSeek等工具时，缺乏系统化培训体系，导致技术与业务场景脱。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 中小企业应用门槛高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尽管DeepSeek通过开源和低成本策略降低使用门槛，但中小企业在模型本地化部署、算力采购及维护方面仍面临高成本压力。深圳现有的“算力共享平台”覆盖范围和补贴力度不足，难以满足中小企业多样化需求。部分企业反映，通用型大模型难以直接适配垂直行业需求，需定制化开发，但中小企业在数据治理和技术对接能力上存在短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4. 数据治理与安全风险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工商业领域的数据分散于不同企业和场景，跨领域数据整合面临隐私保护和权属争议。DeepSeek在政务领域已暴露出网络攻击风险，而工商业场景的复杂性和开放性进一步放大了安全漏洞，亟需构建全链条安全防护体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5. 创新生态与政策协同不足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的创新资源（资金、政策、数据）更多流向华为、腾讯等头部企业，中小企业创新空间被挤压，导致生态多样性不足。深圳机器人领域虽有“十三太保”企业，但多数缺乏颠覆性技术突破。现有政策（如“20+8”产业集群）覆盖范围虽广，但缺乏对AI细分领域的聚焦支持。同时，政策在短期应用落地与长期基础研究之间的平衡机制尚未形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6. 技术与实际业务场景有距离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部分企业将DeepSeek简单视为效率工具，而非战略级创新引擎。在制造业领域，深圳虽具备硬件优势，但AI与机器人、柔性制造等场景的深度融合仍处于探索阶段，尚未形成规模化应用示范。</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建议1、落实政策支持与引导</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补充说明：1、设立专项扶持资金市政府设立 “深圳市工商业人工智能应用专项扶持资金”，用于支持企业开展 DeepSeek等人工智能技术的应用研发和场景拓展。2、制定应用推广指南组织相关领域专家和企业代表，制定《深圳市工商业领域AI应用推广指南》，明确不同行业的应用场景、技术标准和实施路径。定期发布应用案例集，为企业提供参考和借鉴。3、建立应用示范项目每年遴选一批具有代表性的工商业企业，作为AI应用示范项目进行重点扶持。对示范项目给予政策倾斜，如税收优惠、土地使用优先等。组织其他企业参观学习示范项目，促进技术推广和应用经验交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建议2、加速技术融合与创新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补充说明：1、推动产学研合作鼓励深圳的高校、科研机构与企业建立产学研合作机制，共同开展 AI在工商业领域的应用研究。支持高校开设相关专业课程，培养人工智能与工商业融合的复合型人才。例如，深圳大学、南方科技大学等高校可与企业合作，设立人工智能应用创新实验室，针对工商业实际问题开展技术攻关。同时，高校可开设 “人工智能 + 工商业” 双学位课程，培养既懂人工智能技术又熟悉工商业运营的专业人才。2、加强数据安全治理与共享建立健全数据治理体系，加强企业数据的采集、整理、存储和安全管理，提高数据质量。推动政府部门、企业和科研机构之间的数据共享，打破数据孤岛。鼓励企业之间通过合法合规的方式共享数据，共同挖掘数据价值。3、鼓励技术创新与集成支持企业开展 DeepSeek等技术的二次开发和集成创新，结合企业自身业务特点，开发具有自主知识产权的人工智能应用产品和解决方案。对在技术创新和集成方面取得突出成绩的企业，给予知识产权保护和奖励。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建议3、加大应用场景拓展力度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补充说明：1、推动制造业领域应用推动 DeepSeek 等在产品设计、生产工艺优化、质量检测等环节的应用，利用其强大的图像识别和生成能力，实现产品创新和生产效率提升。例如，在电子产品制造企业中，利用 DeepSeek 进行产品外观设计和结构优化，通过模拟不同的设计方案，快速筛选出最优设计，缩短产品研发周期。同时，利用AI大模型对生产过程中的数据进行实时分析，及时发现生产故障和质量问题，实现生产过程的智能化控制。2、金融、消费服务业领域鼓励金融、消费产业运用豆包开展智能客服、风险评估、投资咨询等服务，提高服务效率和质量，降低运营风险。为客户提供 24 小时智能客服服务，解答客户咨询、办理业务；利用 DeepSeek 对客户的信用数据、交易数据等进行分析，建立精准的风险评估模型，为贷款审批、信用卡发卡等业务提供决策支持。3、建设“大湾区智能供应链大脑”基于国产AI大模型构建跨区域产业链协同平台，整合上下游企业的生产、物流、库存数据，实现需求预测、产能调配、风险预警的智能决策。对接入平台的企业，给予数据共享激励补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建议4、打造中小企业AI普惠平台，降低应用门槛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开发面向中小企业的“国产大模型轻量化工具包”和“即插即用”AI模块，覆盖智能客服、库存管理、市场分析等高频需求，建立“AI算力共享平台”，允许中小企业按需调用政务云昇腾智算专区的闲置算力资源，按实际使用量享受50%费用减免。</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35133C4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市工业和信息化局(主办)关于对20250542号提案的答复清单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落实政策支持与引导</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已设立人工智能和具身机器人产业基金，目标规模100亿元，投资于人工智能、具身机器人产业领域。市工业和信息化局分别于2024年12月、2025年3月发布《深圳市加快打造人工智能先锋城市的若干措施》《深圳市加快打造人工智能先锋城市行动计划（2025—2026年）》，聚焦人工智能企业的发展需求，从要素供给、场景应用、源头创新、产业环境四方面支撑产业发展。||2.政策扶持层面，市工业和信息化局于2024年12月出台《深圳市打造人工智能先锋城市的若干措施》，设置“模型券”“语料券”“支持人工智能行业应用”“加速开放政务应用场景”等扶持措施，深化人工智能赋能千行百业。下一步，市工业和信息化局将持续落实政策支持与引导，加快提升人工智能产业发展能级，全速打造人工智能先锋城市。</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A285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加速技术融合与创新</w:t>
            </w:r>
          </w:p>
        </w:tc>
      </w:tr>
      <w:tr w14:paraId="3386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EF6A3D6">
            <w:pPr>
              <w:spacing w:line="400" w:lineRule="exact"/>
              <w:jc w:val="center"/>
              <w:rPr>
                <w:rFonts w:ascii="Calibri" w:hAnsi="Calibri" w:eastAsia="宋体" w:cs="Times New Roman"/>
                <w:b/>
              </w:rPr>
            </w:pPr>
          </w:p>
        </w:tc>
        <w:tc>
          <w:tcPr>
            <w:tcW w:w="2118" w:type="dxa"/>
            <w:vAlign w:val="center"/>
          </w:tcPr>
          <w:p w14:paraId="1B2E955E">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389A0C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近年来，我市持续推动各高校聚焦人工智能交叉应用的核心技术，根据行业发展趋势和技术进步方向，构建“人工智能+X”复合型人才培养体系。目前，我市高校在人工智能领域已经形成较好的办学基础，现有7所高校开设人工智能本科专业，各高校人工智能相关专业本科生1300余人，研究生近400人。||2.同时，市科创局支持高校、科研机构围绕人工智能开展73项基础研究面上项目及13项重点项目。下一步，我市将继续推动人工智能赋能学科建设与交叉融合，突出产业导向和校企合作，支持有条件的高校设置“人工智能+工商业”项目，深度协同产业界，着力培养既懂人工智能技术、又懂工商业运营的专业人才。</w:t>
            </w:r>
          </w:p>
        </w:tc>
      </w:tr>
      <w:tr w14:paraId="28E32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26B627C">
            <w:pPr>
              <w:spacing w:line="400" w:lineRule="exact"/>
              <w:ind w:firstLine="482" w:firstLineChars="200"/>
              <w:jc w:val="center"/>
              <w:rPr>
                <w:rFonts w:ascii="宋体" w:hAnsi="宋体" w:eastAsia="宋体" w:cs="Times New Roman"/>
                <w:b/>
                <w:sz w:val="24"/>
                <w:szCs w:val="24"/>
              </w:rPr>
            </w:pPr>
          </w:p>
        </w:tc>
        <w:tc>
          <w:tcPr>
            <w:tcW w:w="2118" w:type="dxa"/>
            <w:vAlign w:val="center"/>
          </w:tcPr>
          <w:p w14:paraId="4384CC1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BD64BE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974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22E1B50">
            <w:pPr>
              <w:spacing w:line="400" w:lineRule="exact"/>
              <w:ind w:firstLine="422" w:firstLineChars="200"/>
              <w:jc w:val="center"/>
              <w:rPr>
                <w:rFonts w:ascii="Calibri" w:hAnsi="Calibri" w:eastAsia="宋体" w:cs="Times New Roman"/>
                <w:b/>
              </w:rPr>
            </w:pPr>
          </w:p>
        </w:tc>
        <w:tc>
          <w:tcPr>
            <w:tcW w:w="2118" w:type="dxa"/>
            <w:vAlign w:val="center"/>
          </w:tcPr>
          <w:p w14:paraId="4CDD126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89B712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EFF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F1AE5BC">
            <w:pPr>
              <w:spacing w:line="400" w:lineRule="exact"/>
              <w:ind w:firstLine="422" w:firstLineChars="200"/>
              <w:jc w:val="center"/>
              <w:rPr>
                <w:rFonts w:ascii="Calibri" w:hAnsi="Calibri" w:eastAsia="宋体" w:cs="Times New Roman"/>
                <w:b/>
              </w:rPr>
            </w:pPr>
          </w:p>
        </w:tc>
        <w:tc>
          <w:tcPr>
            <w:tcW w:w="2118" w:type="dxa"/>
            <w:vAlign w:val="center"/>
          </w:tcPr>
          <w:p w14:paraId="2AAB623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746E66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C19C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A0884DA">
            <w:pPr>
              <w:spacing w:line="400" w:lineRule="exact"/>
              <w:ind w:firstLine="422" w:firstLineChars="200"/>
              <w:jc w:val="center"/>
              <w:rPr>
                <w:rFonts w:ascii="Calibri" w:hAnsi="Calibri" w:eastAsia="宋体" w:cs="Times New Roman"/>
                <w:b/>
              </w:rPr>
            </w:pPr>
          </w:p>
        </w:tc>
        <w:tc>
          <w:tcPr>
            <w:tcW w:w="2118" w:type="dxa"/>
            <w:vAlign w:val="center"/>
          </w:tcPr>
          <w:p w14:paraId="1A371AE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109B5BB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加大应用场景拓展力度</w:t>
            </w:r>
          </w:p>
        </w:tc>
      </w:tr>
      <w:tr w14:paraId="05567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07780D">
            <w:pPr>
              <w:spacing w:line="400" w:lineRule="exact"/>
              <w:jc w:val="center"/>
              <w:rPr>
                <w:rFonts w:ascii="Calibri" w:hAnsi="Calibri" w:eastAsia="宋体" w:cs="Times New Roman"/>
                <w:b/>
              </w:rPr>
            </w:pPr>
          </w:p>
        </w:tc>
        <w:tc>
          <w:tcPr>
            <w:tcW w:w="2118" w:type="dxa"/>
            <w:vAlign w:val="center"/>
          </w:tcPr>
          <w:p w14:paraId="0745F78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FCA735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1.2023年5月至今，市工业和信息化局于共发布四批“城市＋AI”应用场景清单，涵盖城市治理、公共服务等173个应用场景，逐步构建起覆盖群众服务、企业服务、城市运行、重点行业赋能的场景建设体系。其中包括设备故障检测诊断、表面缺陷检测、智能分拣、生成式设计、供应链优化及产线柔性配置等“AI+制造”领域场景，投顾助手、投资审批大模型、经济智能问数、智能研投、智能投管助手等“AI+金融”领域场景。||2.前三批共73个“城市＋AI”应用场景清单于2023年5月至2024年3月期间发布，通过前期技术探索，目前大部分已完成建设。在此期间，以统筹集约，不断迭代为手段，法院、气象、政数、城管等单位先行先试，在辅助审判、气象预报、民生诉求、城市管理等领域取得成效。||3.2024年12月18日，市工业和信息化局于深圳人工智能先锋城市建设推进大会暨产业推介招商大会发布第四批共100个“城市＋AI”应用场景清单，其中包含政务服务类25个，民生服务类25个，城市治理类50个，更加突出需求导向，同步公布场景建设单位联系方式，进一步吸引社会资本参与项目建设及合作。||4.下一步，市工业和信息化局将持续跟进推动已开放场景建设，以机器换人为导向，辅助决策为支撑，以体验升级为目标，深化人工智能创新应用，进一步提高城市治理水平、优化政务服务效能、提升民生服务质量。</w:t>
            </w:r>
          </w:p>
        </w:tc>
      </w:tr>
      <w:tr w14:paraId="6B124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CCF736B">
            <w:pPr>
              <w:spacing w:line="400" w:lineRule="exact"/>
              <w:ind w:firstLine="482" w:firstLineChars="200"/>
              <w:jc w:val="center"/>
              <w:rPr>
                <w:rFonts w:ascii="宋体" w:hAnsi="宋体" w:eastAsia="宋体" w:cs="Times New Roman"/>
                <w:b/>
                <w:sz w:val="24"/>
                <w:szCs w:val="24"/>
              </w:rPr>
            </w:pPr>
          </w:p>
        </w:tc>
        <w:tc>
          <w:tcPr>
            <w:tcW w:w="2118" w:type="dxa"/>
            <w:vAlign w:val="center"/>
          </w:tcPr>
          <w:p w14:paraId="5DC8F11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92AECD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71A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DFDFD4F">
            <w:pPr>
              <w:spacing w:line="400" w:lineRule="exact"/>
              <w:ind w:firstLine="422" w:firstLineChars="200"/>
              <w:jc w:val="center"/>
              <w:rPr>
                <w:rFonts w:ascii="Calibri" w:hAnsi="Calibri" w:eastAsia="宋体" w:cs="Times New Roman"/>
                <w:b/>
              </w:rPr>
            </w:pPr>
          </w:p>
        </w:tc>
        <w:tc>
          <w:tcPr>
            <w:tcW w:w="2118" w:type="dxa"/>
            <w:vAlign w:val="center"/>
          </w:tcPr>
          <w:p w14:paraId="438FA12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AFA968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06ED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448F5ED">
            <w:pPr>
              <w:spacing w:line="400" w:lineRule="exact"/>
              <w:ind w:firstLine="422" w:firstLineChars="200"/>
              <w:jc w:val="center"/>
              <w:rPr>
                <w:rFonts w:ascii="Calibri" w:hAnsi="Calibri" w:eastAsia="宋体" w:cs="Times New Roman"/>
                <w:b/>
              </w:rPr>
            </w:pPr>
          </w:p>
        </w:tc>
        <w:tc>
          <w:tcPr>
            <w:tcW w:w="2118" w:type="dxa"/>
            <w:vAlign w:val="center"/>
          </w:tcPr>
          <w:p w14:paraId="40CB588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177D09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0BD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F612504">
            <w:pPr>
              <w:spacing w:line="400" w:lineRule="exact"/>
              <w:ind w:firstLine="422" w:firstLineChars="200"/>
              <w:jc w:val="center"/>
              <w:rPr>
                <w:rFonts w:ascii="Calibri" w:hAnsi="Calibri" w:eastAsia="宋体" w:cs="Times New Roman"/>
                <w:b/>
              </w:rPr>
            </w:pPr>
          </w:p>
        </w:tc>
        <w:tc>
          <w:tcPr>
            <w:tcW w:w="2118" w:type="dxa"/>
            <w:vAlign w:val="center"/>
          </w:tcPr>
          <w:p w14:paraId="0FF0BCF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17AA5D3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打造中小企业AI普惠平台，降低应用门槛</w:t>
            </w:r>
          </w:p>
        </w:tc>
      </w:tr>
      <w:tr w14:paraId="5081C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A29A52E">
            <w:pPr>
              <w:spacing w:line="400" w:lineRule="exact"/>
              <w:jc w:val="center"/>
              <w:rPr>
                <w:rFonts w:ascii="Calibri" w:hAnsi="Calibri" w:eastAsia="宋体" w:cs="Times New Roman"/>
                <w:b/>
              </w:rPr>
            </w:pPr>
          </w:p>
        </w:tc>
        <w:tc>
          <w:tcPr>
            <w:tcW w:w="2118" w:type="dxa"/>
            <w:vAlign w:val="center"/>
          </w:tcPr>
          <w:p w14:paraId="1A78737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FD46C3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近年来，我市持续强化人工智能领域公共技术服务平台发展，支持深圳创新科技术有限公司建设深圳市人工智能大数据存储应用研究中试基地，中国科学院深圳先进技术研究院建设深圳市人工智能材料创制中小试基地。||2.下一步，我市将持续支持人工智能领域概念验证中心和中小试基地等公共技术服务平台建设，落成人工智能生态源头创新中心，基于龙头企业全球唯二全栈国产算力生态，为企业提供模型应用迁移和适配服务，培养国产人工智能开发者，加速熟化昇腾生态，引导创新成果在本市实现转化。</w:t>
            </w:r>
          </w:p>
        </w:tc>
      </w:tr>
      <w:tr w14:paraId="79D65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88B502">
            <w:pPr>
              <w:spacing w:line="400" w:lineRule="exact"/>
              <w:ind w:firstLine="482" w:firstLineChars="200"/>
              <w:jc w:val="center"/>
              <w:rPr>
                <w:rFonts w:ascii="宋体" w:hAnsi="宋体" w:eastAsia="宋体" w:cs="Times New Roman"/>
                <w:b/>
                <w:sz w:val="24"/>
                <w:szCs w:val="24"/>
              </w:rPr>
            </w:pPr>
          </w:p>
        </w:tc>
        <w:tc>
          <w:tcPr>
            <w:tcW w:w="2118" w:type="dxa"/>
            <w:vAlign w:val="center"/>
          </w:tcPr>
          <w:p w14:paraId="5842CAE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0B02F3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CB3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7AA091">
            <w:pPr>
              <w:spacing w:line="400" w:lineRule="exact"/>
              <w:ind w:firstLine="422" w:firstLineChars="200"/>
              <w:jc w:val="center"/>
              <w:rPr>
                <w:rFonts w:ascii="Calibri" w:hAnsi="Calibri" w:eastAsia="宋体" w:cs="Times New Roman"/>
                <w:b/>
              </w:rPr>
            </w:pPr>
          </w:p>
        </w:tc>
        <w:tc>
          <w:tcPr>
            <w:tcW w:w="2118" w:type="dxa"/>
            <w:vAlign w:val="center"/>
          </w:tcPr>
          <w:p w14:paraId="0AC9FFA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29B4EF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086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D4E8D5F">
            <w:pPr>
              <w:spacing w:line="400" w:lineRule="exact"/>
              <w:ind w:firstLine="422" w:firstLineChars="200"/>
              <w:jc w:val="center"/>
              <w:rPr>
                <w:rFonts w:ascii="Calibri" w:hAnsi="Calibri" w:eastAsia="宋体" w:cs="Times New Roman"/>
                <w:b/>
              </w:rPr>
            </w:pPr>
          </w:p>
        </w:tc>
        <w:tc>
          <w:tcPr>
            <w:tcW w:w="2118" w:type="dxa"/>
            <w:vAlign w:val="center"/>
          </w:tcPr>
          <w:p w14:paraId="6A5B488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CA7D95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市工业和信息化局关于对市政协七届五次会议第20250542号提案答复意见的函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尊敬的张伟委员：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市政协办公厅转来市政协七届五次会议第20250542号提案《关于深化国产人工智能大模型在深圳工商业领域创新应用的建议》收悉。非常感谢您对我市人工智能产业发展的关心与支持。经认真研究，现答复如下：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一、关于打造中小企业AI普惠平台，降低应用门槛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近年来，我市持续强化人工智能领域公共技术服务平台发展，支持深圳创新科技术有限公司建设深圳市人工智能大数据存储应用研究中试基地，中国科学院深圳先进技术研究院建设深圳市人工智能材料创制中小试基地。下一步，我市将持续支持人工智能领域概念验证中心和中小试基地等公共技术服务平台建设，落成人工智能生态源头创新中心，基于龙头企业全球唯二全栈国产算力生态，为企业提供模型应用迁移和适配服务，培养国产人工智能开发者，加速熟化昇腾生态，引导创新成果在本市实现转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二、关于加大应用场景拓展力度</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2023年5月至今，市工业和信息化局于共发布四批“城市＋AI”应用场景清单，涵盖城市治理、公共服务等173个应用场景，逐步构建起覆盖群众服务、企业服务、城市运行、重点行业赋能的场景建设体系。其中包括设备故障检测诊断、表面缺陷检测、智能分拣、生成式设计、供应链优化及产线柔性配置等“AI+制造”领域场景，投顾助手、投资审批大模型、经济智能问数、智能研投、智能投管助手等“AI+金融”领域场景。前三批共73个“城市＋AI”应用场景清单于2023年5月至2024年3月期间发布，通过前期技术探索，目前大部分已完成建设。在此期间，以统筹集约，不断迭代为手段，法院、气象、政数、城管等单位先行先试，在辅助审判、气象预报、民生诉求、城市管理等领域取得成效。2024年12月18日，市工业和信息化局于深圳人工智能先锋城市建设推进大会暨产业推介招商大会发布第四批共100个“城市＋AI”应用场景清单，其中包含政务服务类25个，民生服务类25个，城市治理类50个，更加突出需求导向，同步公布场景建设单位联系方式，进一步吸引社会资本参与项目建设及合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市工业和信息化局将持续跟进推动已开放场景建设，以机器换人为导向，辅助决策为支撑，以体验升级为目标，深化人工智能创新应用，进一步提高城市治理水平、优化政务服务效能、提升民生服务质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三、关于加速技术融合与创新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近年来，我市持续推动各高校聚焦人工智能交叉应用的核心技术，根据行业发展趋势和技术进步方向，构建“人工智能+X”复合型人才培养体系。目前，我市高校在人工智能领域已经形成较好的办学基础，现有7所高校开设人工智能本科专业，各高校人工智能相关专业本科生1300余人，研究生近400人。同时，市科创局支持高校、科研机构围绕人工智能开展73项基础研究面上项目及13项重点项目。下一步，我市将继续推动人工智能赋能学科建设与交叉融合，突出产业导向和校企合作，支持有条件的高校设置“人工智能+工商业”项目，深度协同产业界，着力培养既懂人工智能技术、又懂工商业运营的专业人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四、关于落实政策支持与引导</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已设立人工智能和具身机器人产业基金，目标规模100亿元，投资于人工智能、具身机器人产业领域。市工业和信息化局分别于2024年12月、2025年3月发布《深圳市加快打造人工智能先锋城市的若干措施》《深圳市加快打造人工智能先锋城市行动计划（2025—2026年）》，聚焦人工智能企业的发展需求，从要素供给、场景应用、源头创新、产业环境四方面支撑产业发展。政策扶持层面，市工业和信息化局于2024年12月出台《深圳市打造人工智能先锋城市的若干措施》，设置“模型券”“语料券”“支持人工智能行业应用”“加速开放政务应用场景”等扶持措施，深化人工智能赋能千行百业。下一步，市工业和信息化局将持续落实政策支持与引导，加快提升人工智能产业发展能级，全速打造人工智能先锋城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再次感谢您对我市人工智能产业发展的关心与支持！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2025年8月12日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（联系人：李炎黄，电话：88101171）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4F2ED682">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E036765"/>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5697</Words>
  <Characters>6003</Characters>
  <Lines>1</Lines>
  <Paragraphs>1</Paragraphs>
  <TotalTime>42</TotalTime>
  <ScaleCrop>false</ScaleCrop>
  <LinksUpToDate>false</LinksUpToDate>
  <CharactersWithSpaces>6246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2025-11-06T05:15:32Z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