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D0F4E">
      <w:pPr>
        <w:jc w:val="center"/>
        <w:rPr>
          <w:rFonts w:ascii="黑体" w:hAnsi="黑体" w:eastAsia="黑体"/>
          <w:b/>
          <w:sz w:val="28"/>
          <w:szCs w:val="28"/>
        </w:rPr>
      </w:pPr>
      <w:r>
        <w:rPr>
          <w:rFonts w:hint="eastAsia" w:ascii="黑体" w:hAnsi="黑体" w:eastAsia="黑体"/>
          <w:b/>
          <w:sz w:val="28"/>
          <w:szCs w:val="28"/>
        </w:rPr>
        <w:t>关于重视本土人才和中小企业，培育创新增长的提案</w:t>
      </w:r>
    </w:p>
    <w:p w14:paraId="724BB023">
      <w:pPr>
        <w:widowControl/>
        <w:jc w:val="center"/>
        <w:rPr>
          <w:rFonts w:hint="eastAsia" w:ascii="华文仿宋" w:hAnsi="华文仿宋" w:eastAsia="华文仿宋" w:cs="仿宋"/>
          <w:sz w:val="28"/>
          <w:szCs w:val="28"/>
        </w:rPr>
      </w:pPr>
      <w:r>
        <w:rPr>
          <w:rFonts w:ascii="宋体" w:hAnsi="宋体" w:eastAsia="宋体" w:cs="宋体"/>
          <w:b/>
          <w:sz w:val="36"/>
          <w:szCs w:val="36"/>
        </w:rPr>
        <w:t xml:space="preserve"> </w:t>
      </w:r>
    </w:p>
    <w:p w14:paraId="0C8B12EE">
      <w:pPr>
        <w:rPr>
          <w:rFonts w:hint="eastAsia" w:ascii="华文仿宋" w:hAnsi="华文仿宋" w:eastAsia="华文仿宋" w:cs="仿宋"/>
          <w:sz w:val="28"/>
          <w:szCs w:val="28"/>
        </w:rPr>
      </w:pPr>
      <w:r>
        <w:rPr>
          <w:rFonts w:hint="eastAsia" w:ascii="黑体" w:hAnsi="黑体" w:eastAsia="黑体"/>
          <w:sz w:val="28"/>
          <w:szCs w:val="28"/>
        </w:rPr>
        <w:t xml:space="preserve">提 出 </w:t>
      </w:r>
      <w:r>
        <w:rPr>
          <w:rFonts w:ascii="黑体" w:hAnsi="黑体" w:eastAsia="黑体"/>
          <w:sz w:val="28"/>
          <w:szCs w:val="28"/>
        </w:rPr>
        <w:t>人：</w:t>
      </w:r>
      <w:r>
        <w:rPr>
          <w:rFonts w:hint="eastAsia" w:ascii="仿宋" w:hAnsi="仿宋" w:eastAsia="仿宋" w:cs="仿宋"/>
          <w:sz w:val="28"/>
          <w:szCs w:val="28"/>
        </w:rPr>
        <w:t>张弓</w:t>
      </w:r>
    </w:p>
    <w:p w14:paraId="031B198C">
      <w:pPr>
        <w:rPr>
          <w:rFonts w:hint="eastAsia" w:ascii="华文仿宋" w:hAnsi="华文仿宋" w:eastAsia="华文仿宋" w:cs="仿宋"/>
          <w:sz w:val="28"/>
          <w:szCs w:val="28"/>
        </w:rPr>
      </w:pPr>
      <w:r>
        <w:rPr>
          <w:rFonts w:hint="eastAsia" w:ascii="黑体" w:hAnsi="黑体" w:eastAsia="黑体"/>
          <w:sz w:val="28"/>
          <w:szCs w:val="28"/>
        </w:rPr>
        <w:t xml:space="preserve">提 </w:t>
      </w: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号</w:t>
      </w:r>
      <w:r>
        <w:rPr>
          <w:rFonts w:ascii="黑体" w:hAnsi="黑体" w:eastAsia="黑体"/>
          <w:sz w:val="28"/>
          <w:szCs w:val="28"/>
        </w:rPr>
        <w:t>：</w:t>
      </w:r>
      <w:r>
        <w:rPr>
          <w:rFonts w:hint="eastAsia" w:ascii="仿宋" w:hAnsi="仿宋" w:eastAsia="仿宋" w:cs="仿宋"/>
          <w:sz w:val="28"/>
          <w:szCs w:val="28"/>
        </w:rPr>
        <w:t>20250392</w:t>
      </w:r>
    </w:p>
    <w:p w14:paraId="4AADE248">
      <w:pPr>
        <w:rPr>
          <w:rFonts w:hint="default" w:ascii="华文仿宋" w:hAnsi="华文仿宋" w:eastAsia="华文仿宋" w:cs="仿宋"/>
          <w:sz w:val="28"/>
          <w:szCs w:val="28"/>
          <w:lang w:val="en-US" w:eastAsia="zh-CN"/>
        </w:rPr>
      </w:pPr>
      <w:r>
        <w:rPr>
          <w:rFonts w:hint="eastAsia" w:ascii="黑体" w:hAnsi="黑体" w:eastAsia="黑体"/>
          <w:sz w:val="28"/>
          <w:szCs w:val="28"/>
          <w:lang w:val="en-US" w:eastAsia="zh-CN"/>
        </w:rPr>
        <w:t>办理类型：</w:t>
      </w:r>
      <w:r>
        <w:rPr>
          <w:rFonts w:hint="eastAsia" w:ascii="仿宋" w:hAnsi="仿宋" w:eastAsia="仿宋" w:cs="仿宋"/>
          <w:sz w:val="28"/>
          <w:szCs w:val="28"/>
          <w:lang w:val="en-US" w:eastAsia="zh-CN"/>
        </w:rPr>
        <w:t>主会办</w:t>
      </w:r>
    </w:p>
    <w:p w14:paraId="0DA60D15">
      <w:pPr>
        <w:rPr>
          <w:rFonts w:hint="eastAsia" w:ascii="仿宋" w:hAnsi="仿宋" w:eastAsia="仿宋" w:cs="仿宋"/>
          <w:sz w:val="28"/>
          <w:szCs w:val="28"/>
          <w:lang w:val="en-US" w:eastAsia="zh-CN"/>
        </w:rPr>
      </w:pPr>
      <w:r>
        <w:rPr>
          <w:rFonts w:hint="eastAsia" w:ascii="黑体" w:hAnsi="黑体" w:eastAsia="黑体"/>
          <w:sz w:val="28"/>
          <w:szCs w:val="28"/>
          <w:lang w:val="en-US" w:eastAsia="zh-CN"/>
        </w:rPr>
        <w:t>主办单位：</w:t>
      </w:r>
      <w:r>
        <w:rPr>
          <w:rFonts w:hint="eastAsia" w:ascii="仿宋" w:hAnsi="仿宋" w:eastAsia="仿宋" w:cs="仿宋"/>
          <w:sz w:val="28"/>
          <w:szCs w:val="28"/>
          <w:lang w:val="en-US" w:eastAsia="zh-CN"/>
        </w:rPr>
        <w:t>市工业和信息化局</w:t>
      </w:r>
    </w:p>
    <w:p w14:paraId="204A39AD">
      <w:pPr>
        <w:rPr>
          <w:rFonts w:hint="default" w:ascii="仿宋" w:hAnsi="仿宋" w:eastAsia="仿宋" w:cs="仿宋"/>
          <w:sz w:val="28"/>
          <w:szCs w:val="28"/>
          <w:lang w:val="en-US" w:eastAsia="zh-CN"/>
        </w:rPr>
      </w:pPr>
      <w:r>
        <w:rPr>
          <w:rFonts w:hint="eastAsia" w:ascii="黑体" w:hAnsi="黑体" w:eastAsia="黑体"/>
          <w:sz w:val="28"/>
          <w:szCs w:val="28"/>
          <w:lang w:val="en-US" w:eastAsia="zh-CN"/>
        </w:rPr>
        <w:t>会办单位：</w:t>
      </w:r>
      <w:r>
        <w:rPr>
          <w:rFonts w:hint="eastAsia" w:ascii="仿宋" w:hAnsi="仿宋" w:eastAsia="仿宋" w:cs="仿宋"/>
          <w:sz w:val="28"/>
          <w:szCs w:val="28"/>
          <w:lang w:val="en-US" w:eastAsia="zh-CN"/>
        </w:rPr>
        <w:t>市科技创新局,市人力资源和社会保障局</w:t>
      </w:r>
    </w:p>
    <w:p w14:paraId="175817EB">
      <w:pPr>
        <w:rPr>
          <w:rFonts w:ascii="黑体" w:hAnsi="黑体" w:eastAsia="黑体"/>
          <w:sz w:val="28"/>
          <w:szCs w:val="28"/>
        </w:rPr>
      </w:pPr>
      <w:r>
        <w:rPr>
          <w:rFonts w:hint="eastAsia" w:ascii="黑体" w:hAnsi="黑体" w:eastAsia="黑体"/>
          <w:sz w:val="28"/>
          <w:szCs w:val="28"/>
          <w:lang w:val="en-US" w:eastAsia="zh-CN"/>
        </w:rPr>
        <w:t>案</w:t>
      </w:r>
      <w:r>
        <w:rPr>
          <w:rFonts w:hint="eastAsia" w:ascii="黑体" w:hAnsi="黑体" w:eastAsia="黑体"/>
          <w:sz w:val="28"/>
          <w:szCs w:val="28"/>
        </w:rPr>
        <w:t xml:space="preserve">    </w:t>
      </w:r>
      <w:r>
        <w:rPr>
          <w:rFonts w:hint="eastAsia" w:ascii="黑体" w:hAnsi="黑体" w:eastAsia="黑体"/>
          <w:sz w:val="28"/>
          <w:szCs w:val="28"/>
          <w:lang w:val="en-US" w:eastAsia="zh-CN"/>
        </w:rPr>
        <w:t>由</w:t>
      </w:r>
      <w:r>
        <w:rPr>
          <w:rFonts w:hint="eastAsia" w:ascii="黑体" w:hAnsi="黑体" w:eastAsia="黑体"/>
          <w:sz w:val="28"/>
          <w:szCs w:val="28"/>
        </w:rPr>
        <w:t>：</w:t>
      </w:r>
    </w:p>
    <w:p w14:paraId="679229BE">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当前经济下行压力重，经济转型需求迫切，大型企业增长乏力，创新新增长点成为城市经济增长的重要支点。近两年来，DeepSeek、机器狗、人形机器人、黑神话悟空等现象级的创新成果频现，然而人们发现，这些现象级的创新企业几乎都来自于杭州，有“杭州六小龙”之称，因而一度引发全社会的热烈讨论，其中很多讨论围绕着“为什么这些创新企业没有诞生于深圳？” 有这种讨论，其实反映着全国人民心目中深圳才应该是“中国创新第一城”，历史上深圳也确实是中国最适合创业者生存的城市，然而时过境迁，深圳的创业环境还需要与时俱进。现实的确是新一波的现象级创新企业确实几乎没有在深圳，其核心原因是深圳过于支持“大企业”、“总部企业”而对创新性中小企业支持力度明显不足，造成“大树下面不长草”；深圳对来源于国外的技术和人才过于偏爱，忽略了本土技术和本土创新人才。甚至有一些现象级创新公司在深圳长期得不到重视和支持，迁到杭州后才如鱼得水、一飞冲天。虽然深圳的经济韧性较好，城市体量也比杭州大很多，目前杭州在经济总规模上尚无法与深圳竞争，但如果故步自封不做改变，深圳将在新经济的浪潮中逐渐失速。</w:t>
      </w:r>
    </w:p>
    <w:p w14:paraId="11981D77">
      <w:pPr>
        <w:rPr>
          <w:rFonts w:ascii="黑体" w:hAnsi="黑体" w:eastAsia="黑体"/>
          <w:sz w:val="28"/>
          <w:szCs w:val="28"/>
        </w:rPr>
      </w:pPr>
      <w:r>
        <w:rPr>
          <w:rFonts w:hint="eastAsia" w:ascii="黑体" w:hAnsi="黑体" w:eastAsia="黑体"/>
          <w:sz w:val="28"/>
          <w:szCs w:val="28"/>
        </w:rPr>
        <w:t xml:space="preserve">建 </w:t>
      </w:r>
      <w:r>
        <w:rPr>
          <w:rFonts w:hint="eastAsia" w:ascii="黑体" w:hAnsi="黑体" w:eastAsia="黑体"/>
          <w:sz w:val="28"/>
          <w:szCs w:val="28"/>
          <w:lang w:val="en-US" w:eastAsia="zh-CN"/>
        </w:rPr>
        <w:t xml:space="preserve">   </w:t>
      </w:r>
      <w:r>
        <w:rPr>
          <w:rFonts w:hint="eastAsia" w:ascii="黑体" w:hAnsi="黑体" w:eastAsia="黑体"/>
          <w:sz w:val="28"/>
          <w:szCs w:val="28"/>
        </w:rPr>
        <w:t>议：</w:t>
      </w:r>
    </w:p>
    <w:p w14:paraId="785C7282">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建议1、重视扶持创新性中小企业，减少对大企业的追捧</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长期以来，深圳市政府偏爱支持大企业，因为在高增长时代，以电子信息科技行业为主的产值增量确实主要集中于大企业。然而在经济低迷的年代，大企业往往增长乏力，而创新型小公司才是高增长的希望。我们看到，杭州并没有将扶持资源大量倾向阿里，反而是大量投资支持创新型中小公司。研发DeepSeek的深度求索、制作《黑神话悟空》的游戏科学，都是只在PPT阶段就拿到了杭州市政府的大量扶持资金和办公场地，研发机器人的宇树科技更是在资金链濒临断裂的时刻拿到了杭州市政府的资金扶持续命成功。尤其值得注意的是制作《黑神话悟空》的游戏科学原本注册在深圳，但在深圳没有拿到扶持，转到杭州之后迅速得到扶持，才能一飞冲天。这充分说明了深圳市对中小型创新企业并没有足够的重视，还抱着以往的经验一味扶持大企业，导致“大树下面不长草”的景况，不利于大量创新公司的生存发展。因此建议深圳市要出台硬性规定，除满足国家战略需求之外，扶持资金不应给到年营收超过10亿元的大型企业。</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建议2、摒除“崇洋媚外”的人才认定标准，对人才一视同仁</w:t>
      </w:r>
      <w:r>
        <w:rPr>
          <w:rFonts w:hint="eastAsia" w:ascii="仿宋" w:hAnsi="仿宋" w:eastAsia="仿宋" w:cs="仿宋"/>
          <w:sz w:val="28"/>
          <w:szCs w:val="28"/>
          <w:lang w:val="en-US" w:eastAsia="zh-CN"/>
        </w:rPr>
        <w:br w:type="textWrapping"/>
      </w:r>
      <w:r>
        <w:rPr>
          <w:rFonts w:hint="eastAsia" w:ascii="仿宋" w:hAnsi="仿宋" w:eastAsia="仿宋" w:cs="仿宋"/>
          <w:sz w:val="28"/>
          <w:szCs w:val="28"/>
          <w:lang w:val="en-US" w:eastAsia="zh-CN"/>
        </w:rPr>
        <w:t xml:space="preserve">    补充说明：迄今为止，深圳市各种引进人才标准里面，随处可见的是要求有国外留学工作经历，甚至要求是QS排名100的大学毕业等，其创办企业要拿到扶持，很多时候也要求企业创始人或核心骨干有国外留学工作经历，被网上嘲为“崇洋媚外”。在改革开放之初中国的科技与国外差距巨大，这种要求并无不妥，但现在中国科技在很多方面已不逊色于国外，而且国家要求自主创新、文化自信等已有多年，如此的“崇洋媚外”式人才要求早已与时代发展潮流和国家政策背道而驰。以“杭州六小龙“为代表的中国本土人才和本土创新企业的崛起，也证明了中国本土人才有足够的能力担纲新时代新经济的创新大任。与此同时，国外（尤其是美国）对中国留学生的排挤和提防，使留学生接触到的最先进科技越来越少，故而归国创业成功率一路走低。这一升一降，已勾勒出今后相当长一段时间的走向。因此建议深圳市各种人才和企业的认定标准里面，除国家有明确规定的以外，一律删除国外留学工作经历要求，删除学校排名要求，对所有人才一视同仁。</w:t>
      </w:r>
      <w:r>
        <w:rPr>
          <w:rFonts w:hint="eastAsia" w:ascii="仿宋" w:hAnsi="仿宋" w:eastAsia="仿宋" w:cs="仿宋"/>
          <w:sz w:val="28"/>
          <w:szCs w:val="28"/>
          <w:lang w:val="en-US" w:eastAsia="zh-CN"/>
        </w:rPr>
        <w:br w:type="textWrapping"/>
      </w:r>
    </w:p>
    <w:p w14:paraId="4639CDB5">
      <w:pPr>
        <w:spacing w:line="300" w:lineRule="auto"/>
        <w:jc w:val="left"/>
        <w:rPr>
          <w:rFonts w:hint="eastAsia" w:ascii="华文仿宋" w:hAnsi="华文仿宋" w:eastAsia="华文仿宋" w:cs="仿宋"/>
          <w:sz w:val="28"/>
          <w:szCs w:val="28"/>
        </w:rPr>
      </w:pPr>
    </w:p>
    <w:p w14:paraId="121E5B3E">
      <w:pPr>
        <w:spacing w:line="300" w:lineRule="auto"/>
        <w:jc w:val="left"/>
        <w:rPr>
          <w:rFonts w:hint="eastAsia" w:ascii="华文仿宋" w:hAnsi="华文仿宋" w:eastAsia="华文仿宋" w:cs="仿宋"/>
          <w:sz w:val="28"/>
          <w:szCs w:val="28"/>
        </w:rPr>
      </w:pPr>
    </w:p>
    <w:p w14:paraId="35FBD481">
      <w:pPr>
        <w:spacing w:line="300" w:lineRule="auto"/>
        <w:jc w:val="left"/>
        <w:rPr>
          <w:rFonts w:hint="eastAsia" w:ascii="华文仿宋" w:hAnsi="华文仿宋" w:eastAsia="华文仿宋" w:cs="仿宋"/>
          <w:sz w:val="28"/>
          <w:szCs w:val="28"/>
        </w:rPr>
      </w:pPr>
    </w:p>
    <w:p w14:paraId="53B4F6FB">
      <w:pPr>
        <w:spacing w:line="300" w:lineRule="auto"/>
        <w:ind w:left="8820" w:leftChars="0" w:firstLine="420" w:firstLineChars="0"/>
        <w:jc w:val="left"/>
        <w:rPr>
          <w:rFonts w:hint="default" w:ascii="华文仿宋" w:hAnsi="华文仿宋" w:eastAsia="华文仿宋" w:cs="仿宋"/>
          <w:sz w:val="28"/>
          <w:szCs w:val="28"/>
          <w:lang w:val="en-US" w:eastAsia="zh-CN"/>
        </w:rPr>
      </w:pPr>
      <w:r>
        <w:rPr>
          <w:rFonts w:hint="eastAsia" w:ascii="华文仿宋" w:hAnsi="华文仿宋" w:eastAsia="华文仿宋" w:cs="仿宋"/>
          <w:sz w:val="28"/>
          <w:szCs w:val="28"/>
          <w:lang w:val="en-US" w:eastAsia="zh-CN"/>
        </w:rPr>
        <w:t xml:space="preserve">       </w:t>
      </w:r>
    </w:p>
    <w:p w14:paraId="7783A691">
      <w:pPr>
        <w:sectPr>
          <w:cols w:space="720" w:num="1"/>
        </w:sectPr>
      </w:pPr>
    </w:p>
    <w:tbl>
      <w:tblPr>
        <w:tblStyle w:val="4"/>
        <w:tblpPr w:leftFromText="180" w:rightFromText="180" w:vertAnchor="page" w:horzAnchor="page" w:tblpX="1927" w:tblpY="156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2118"/>
        <w:gridCol w:w="5819"/>
      </w:tblGrid>
      <w:tr w14:paraId="2B10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8522" w:type="dxa"/>
            <w:gridSpan w:val="3"/>
            <w:vAlign w:val="center"/>
          </w:tcPr>
          <w:p w14:paraId="091637C5">
            <w:pPr>
              <w:spacing w:line="400" w:lineRule="exact"/>
              <w:jc w:val="center"/>
              <w:rPr>
                <w:rFonts w:hint="eastAsia" w:ascii="华文仿宋" w:hAnsi="华文仿宋" w:eastAsia="华文仿宋" w:cs="华文仿宋"/>
                <w:b/>
                <w:bCs/>
                <w:color w:val="000000"/>
                <w:sz w:val="28"/>
                <w:szCs w:val="28"/>
                <w:lang w:val="en-US" w:eastAsia="zh-CN"/>
              </w:rPr>
            </w:pPr>
            <w:r>
              <w:rPr>
                <w:rFonts w:hint="eastAsia" w:ascii="仿宋" w:hAnsi="仿宋" w:eastAsia="仿宋" w:cs="仿宋"/>
                <w:b/>
                <w:bCs/>
                <w:color w:val="000000"/>
                <w:sz w:val="28"/>
                <w:szCs w:val="28"/>
                <w:lang w:val="en-US" w:eastAsia="zh-CN"/>
              </w:rPr>
              <w:t>市工业和信息化局(主办)关于对20250392号提案的答复清单</w:t>
            </w:r>
          </w:p>
        </w:tc>
      </w:tr>
      <w:tr w14:paraId="4460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585" w:type="dxa"/>
            <w:vMerge w:val="restart"/>
            <w:vAlign w:val="center"/>
          </w:tcPr>
          <w:p w14:paraId="3529C014">
            <w:pPr>
              <w:spacing w:line="360" w:lineRule="auto"/>
              <w:ind w:firstLine="482" w:firstLineChars="200"/>
              <w:jc w:val="center"/>
              <w:rPr>
                <w:rFonts w:ascii="宋体" w:hAnsi="宋体" w:eastAsia="宋体" w:cs="Times New Roman"/>
                <w:b/>
                <w:sz w:val="24"/>
                <w:szCs w:val="24"/>
              </w:rPr>
            </w:pPr>
            <w:r>
              <w:rPr>
                <w:rFonts w:hint="eastAsia" w:ascii="宋体" w:hAnsi="宋体" w:eastAsia="宋体" w:cs="Times New Roman"/>
                <w:b/>
                <w:sz w:val="24"/>
                <w:szCs w:val="24"/>
              </w:rPr>
              <w:t>办</w:t>
            </w:r>
            <w:r>
              <w:rPr>
                <w:rFonts w:hint="eastAsia" w:ascii="仿宋" w:hAnsi="仿宋" w:eastAsia="仿宋" w:cs="仿宋"/>
                <w:b/>
                <w:sz w:val="28"/>
                <w:szCs w:val="28"/>
                <w:lang w:val="en-US" w:eastAsia="zh-CN"/>
              </w:rPr>
              <w:t>答复清单</w:t>
            </w:r>
          </w:p>
        </w:tc>
        <w:tc>
          <w:tcPr>
            <w:tcW w:w="2118" w:type="dxa"/>
            <w:vAlign w:val="center"/>
          </w:tcPr>
          <w:p w14:paraId="7CA16211">
            <w:pPr>
              <w:spacing w:line="400" w:lineRule="exact"/>
              <w:jc w:val="center"/>
              <w:rPr>
                <w:rFonts w:ascii="宋体" w:hAnsi="宋体" w:eastAsia="宋体" w:cs="Times New Roman"/>
                <w:b/>
                <w:szCs w:val="21"/>
              </w:rPr>
            </w:pPr>
            <w:r>
              <w:rPr>
                <w:rFonts w:hint="eastAsia" w:ascii="仿宋" w:hAnsi="仿宋" w:eastAsia="仿宋" w:cs="仿宋"/>
                <w:b/>
                <w:sz w:val="24"/>
                <w:szCs w:val="24"/>
                <w:lang w:val="en-US" w:eastAsia="zh-CN"/>
              </w:rPr>
              <w:t>建议一</w:t>
            </w:r>
          </w:p>
        </w:tc>
        <w:tc>
          <w:tcPr>
            <w:tcW w:w="5819" w:type="dxa"/>
          </w:tcPr>
          <w:p w14:paraId="49D2CCE2">
            <w:pPr>
              <w:spacing w:line="400" w:lineRule="exact"/>
              <w:jc w:val="both"/>
              <w:rPr>
                <w:rFonts w:hint="eastAsia" w:ascii="华文仿宋" w:hAnsi="华文仿宋" w:eastAsia="华文仿宋" w:cs="华文仿宋"/>
                <w:b w:val="0"/>
                <w:bCs/>
                <w:sz w:val="24"/>
                <w:szCs w:val="24"/>
                <w:lang w:val="en-US" w:eastAsia="zh-CN"/>
              </w:rPr>
            </w:pPr>
            <w:r>
              <w:rPr>
                <w:rFonts w:hint="eastAsia" w:ascii="仿宋" w:hAnsi="仿宋" w:eastAsia="仿宋" w:cs="仿宋"/>
                <w:b w:val="0"/>
                <w:bCs/>
                <w:sz w:val="24"/>
                <w:szCs w:val="24"/>
                <w:lang w:val="en-US" w:eastAsia="zh-CN"/>
              </w:rPr>
              <w:t>重视扶持创新性中小企业，减少对大企业的追捧</w:t>
            </w:r>
          </w:p>
        </w:tc>
      </w:tr>
      <w:tr w14:paraId="708E8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585" w:type="dxa"/>
            <w:vMerge w:val="continue"/>
            <w:vAlign w:val="center"/>
          </w:tcPr>
          <w:p w14:paraId="489B335C">
            <w:pPr>
              <w:spacing w:line="400" w:lineRule="exact"/>
              <w:jc w:val="center"/>
              <w:rPr>
                <w:rFonts w:ascii="Calibri" w:hAnsi="Calibri" w:eastAsia="宋体" w:cs="Times New Roman"/>
                <w:b/>
              </w:rPr>
            </w:pPr>
          </w:p>
        </w:tc>
        <w:tc>
          <w:tcPr>
            <w:tcW w:w="2118" w:type="dxa"/>
            <w:vAlign w:val="center"/>
          </w:tcPr>
          <w:p w14:paraId="0D07F621">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0DFD929A">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1.开展创新型中小企业、专精特新中小企业、专精特新“小巨人”企业申报认定工作。印发实施《深圳市关于促进专精特新中小企业高质量发展的行动计划（2025—2026年）》。</w:t>
            </w:r>
          </w:p>
        </w:tc>
      </w:tr>
      <w:tr w14:paraId="6748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85" w:type="dxa"/>
            <w:vMerge w:val="continue"/>
            <w:vAlign w:val="center"/>
          </w:tcPr>
          <w:p w14:paraId="6217F7E7">
            <w:pPr>
              <w:spacing w:line="400" w:lineRule="exact"/>
              <w:ind w:firstLine="482" w:firstLineChars="200"/>
              <w:jc w:val="center"/>
              <w:rPr>
                <w:rFonts w:ascii="宋体" w:hAnsi="宋体" w:eastAsia="宋体" w:cs="Times New Roman"/>
                <w:b/>
                <w:sz w:val="24"/>
                <w:szCs w:val="24"/>
              </w:rPr>
            </w:pPr>
          </w:p>
        </w:tc>
        <w:tc>
          <w:tcPr>
            <w:tcW w:w="2118" w:type="dxa"/>
            <w:vAlign w:val="center"/>
          </w:tcPr>
          <w:p w14:paraId="347578ED">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47E8A465">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1.出台促进风投创投高质量发展行动方案，引导创投机构投早投小投长期投硬科技。</w:t>
            </w:r>
          </w:p>
        </w:tc>
      </w:tr>
      <w:tr w14:paraId="36D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85" w:type="dxa"/>
            <w:vMerge w:val="continue"/>
            <w:vAlign w:val="center"/>
          </w:tcPr>
          <w:p w14:paraId="35F86B44">
            <w:pPr>
              <w:spacing w:line="400" w:lineRule="exact"/>
              <w:ind w:firstLine="422" w:firstLineChars="200"/>
              <w:jc w:val="center"/>
              <w:rPr>
                <w:rFonts w:ascii="Calibri" w:hAnsi="Calibri" w:eastAsia="宋体" w:cs="Times New Roman"/>
                <w:b/>
              </w:rPr>
            </w:pPr>
          </w:p>
        </w:tc>
        <w:tc>
          <w:tcPr>
            <w:tcW w:w="2118" w:type="dxa"/>
            <w:vAlign w:val="center"/>
          </w:tcPr>
          <w:p w14:paraId="0B340CB5">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72FFC6DE">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1.修订《深圳经济特区中小企业发展促进条例》。市、区财政年度预算应当安排扶持中小企业发展资金，支持企业发展的各类资金应当适当向中小企业倾斜。</w:t>
            </w:r>
          </w:p>
        </w:tc>
      </w:tr>
      <w:tr w14:paraId="10B49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85" w:type="dxa"/>
            <w:vMerge w:val="continue"/>
            <w:vAlign w:val="center"/>
          </w:tcPr>
          <w:p w14:paraId="3C4392FD">
            <w:pPr>
              <w:spacing w:line="400" w:lineRule="exact"/>
              <w:ind w:firstLine="422" w:firstLineChars="200"/>
              <w:jc w:val="center"/>
              <w:rPr>
                <w:rFonts w:ascii="Calibri" w:hAnsi="Calibri" w:eastAsia="宋体" w:cs="Times New Roman"/>
                <w:b/>
              </w:rPr>
            </w:pPr>
          </w:p>
        </w:tc>
        <w:tc>
          <w:tcPr>
            <w:tcW w:w="2118" w:type="dxa"/>
            <w:vAlign w:val="center"/>
          </w:tcPr>
          <w:p w14:paraId="1F8D6DA1">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08BD4B54">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5ADFD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2963ABFC">
            <w:pPr>
              <w:spacing w:line="400" w:lineRule="exact"/>
              <w:ind w:firstLine="422" w:firstLineChars="200"/>
              <w:jc w:val="center"/>
              <w:rPr>
                <w:rFonts w:ascii="Calibri" w:hAnsi="Calibri" w:eastAsia="宋体" w:cs="Times New Roman"/>
                <w:b/>
              </w:rPr>
            </w:pPr>
          </w:p>
        </w:tc>
        <w:tc>
          <w:tcPr>
            <w:tcW w:w="2118" w:type="dxa"/>
            <w:vAlign w:val="center"/>
          </w:tcPr>
          <w:p w14:paraId="0FBFA24E">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建议二</w:t>
            </w:r>
          </w:p>
        </w:tc>
        <w:tc>
          <w:tcPr>
            <w:tcW w:w="5819" w:type="dxa"/>
            <w:vAlign w:val="center"/>
          </w:tcPr>
          <w:p w14:paraId="0AE9F823">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摒除“崇洋媚外”的人才认定标准，对人才一视同仁</w:t>
            </w:r>
          </w:p>
        </w:tc>
      </w:tr>
      <w:tr w14:paraId="649B5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F085CE0">
            <w:pPr>
              <w:spacing w:line="400" w:lineRule="exact"/>
              <w:jc w:val="center"/>
              <w:rPr>
                <w:rFonts w:ascii="Calibri" w:hAnsi="Calibri" w:eastAsia="宋体" w:cs="Times New Roman"/>
                <w:b/>
              </w:rPr>
            </w:pPr>
          </w:p>
        </w:tc>
        <w:tc>
          <w:tcPr>
            <w:tcW w:w="2118" w:type="dxa"/>
            <w:vAlign w:val="center"/>
          </w:tcPr>
          <w:p w14:paraId="48DBD03A">
            <w:pPr>
              <w:spacing w:line="400" w:lineRule="exact"/>
              <w:jc w:val="center"/>
              <w:rPr>
                <w:rFonts w:ascii="宋体" w:hAnsi="宋体" w:eastAsia="宋体" w:cs="Times New Roman"/>
                <w:b/>
                <w:sz w:val="24"/>
                <w:szCs w:val="24"/>
              </w:rPr>
            </w:pPr>
            <w:r>
              <w:rPr>
                <w:rFonts w:hint="eastAsia" w:ascii="仿宋" w:hAnsi="仿宋" w:eastAsia="仿宋" w:cs="仿宋"/>
                <w:b/>
                <w:sz w:val="24"/>
                <w:szCs w:val="24"/>
                <w:lang w:val="en-US" w:eastAsia="zh-CN"/>
              </w:rPr>
              <w:t>当年完成的事项</w:t>
            </w:r>
          </w:p>
        </w:tc>
        <w:tc>
          <w:tcPr>
            <w:tcW w:w="5819" w:type="dxa"/>
            <w:vAlign w:val="center"/>
          </w:tcPr>
          <w:p w14:paraId="106D0C08">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1.市人力资源保障局所负责的相关政策，除专门针对服务留学生群体的专项政策以及国家对于粤港澳大湾区人才高地建设所要求的有关政策外，对人才没有特别限定。</w:t>
            </w:r>
          </w:p>
        </w:tc>
      </w:tr>
      <w:tr w14:paraId="1018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49C42A27">
            <w:pPr>
              <w:spacing w:line="400" w:lineRule="exact"/>
              <w:ind w:firstLine="482" w:firstLineChars="200"/>
              <w:jc w:val="center"/>
              <w:rPr>
                <w:rFonts w:ascii="宋体" w:hAnsi="宋体" w:eastAsia="宋体" w:cs="Times New Roman"/>
                <w:b/>
                <w:sz w:val="24"/>
                <w:szCs w:val="24"/>
              </w:rPr>
            </w:pPr>
          </w:p>
        </w:tc>
        <w:tc>
          <w:tcPr>
            <w:tcW w:w="2118" w:type="dxa"/>
            <w:vAlign w:val="center"/>
          </w:tcPr>
          <w:p w14:paraId="79F28A38">
            <w:pPr>
              <w:spacing w:line="400" w:lineRule="exact"/>
              <w:jc w:val="center"/>
              <w:rPr>
                <w:rFonts w:ascii="Calibri" w:hAnsi="Calibri" w:eastAsia="宋体" w:cs="Times New Roman"/>
                <w:b/>
              </w:rPr>
            </w:pPr>
            <w:r>
              <w:rPr>
                <w:rFonts w:hint="eastAsia" w:ascii="仿宋" w:hAnsi="仿宋" w:eastAsia="仿宋" w:cs="仿宋"/>
                <w:b/>
                <w:sz w:val="24"/>
                <w:szCs w:val="24"/>
                <w:lang w:val="en-US" w:eastAsia="zh-CN"/>
              </w:rPr>
              <w:t>当年推动的工作</w:t>
            </w:r>
          </w:p>
        </w:tc>
        <w:tc>
          <w:tcPr>
            <w:tcW w:w="5819" w:type="dxa"/>
            <w:vAlign w:val="center"/>
          </w:tcPr>
          <w:p w14:paraId="7190F6BC">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1.面向我市承担国家重大攻关任务类人才等五大类别，凝练形成三级人才评价指标体系。</w:t>
            </w:r>
          </w:p>
        </w:tc>
      </w:tr>
      <w:tr w14:paraId="59820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68AA3F48">
            <w:pPr>
              <w:spacing w:line="400" w:lineRule="exact"/>
              <w:ind w:firstLine="422" w:firstLineChars="200"/>
              <w:jc w:val="center"/>
              <w:rPr>
                <w:rFonts w:ascii="Calibri" w:hAnsi="Calibri" w:eastAsia="宋体" w:cs="Times New Roman"/>
                <w:b/>
              </w:rPr>
            </w:pPr>
          </w:p>
        </w:tc>
        <w:tc>
          <w:tcPr>
            <w:tcW w:w="2118" w:type="dxa"/>
            <w:vAlign w:val="center"/>
          </w:tcPr>
          <w:p w14:paraId="02AEA206">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明年待落实事项</w:t>
            </w:r>
          </w:p>
        </w:tc>
        <w:tc>
          <w:tcPr>
            <w:tcW w:w="5819" w:type="dxa"/>
            <w:vAlign w:val="center"/>
          </w:tcPr>
          <w:p w14:paraId="24735FB2">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1.联合相关政府部门探索政策优化方向，进一步强化用人单位自主评价机制、创新科技人才评价方式、健全评价结果使用和激励机制。</w:t>
            </w:r>
          </w:p>
        </w:tc>
      </w:tr>
      <w:tr w14:paraId="1EC9C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14:paraId="08DF9905">
            <w:pPr>
              <w:spacing w:line="400" w:lineRule="exact"/>
              <w:ind w:firstLine="422" w:firstLineChars="200"/>
              <w:jc w:val="center"/>
              <w:rPr>
                <w:rFonts w:ascii="Calibri" w:hAnsi="Calibri" w:eastAsia="宋体" w:cs="Times New Roman"/>
                <w:b/>
              </w:rPr>
            </w:pPr>
          </w:p>
        </w:tc>
        <w:tc>
          <w:tcPr>
            <w:tcW w:w="2118" w:type="dxa"/>
            <w:vAlign w:val="center"/>
          </w:tcPr>
          <w:p w14:paraId="51B8F18C">
            <w:pPr>
              <w:spacing w:line="400" w:lineRule="exact"/>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不能采纳原因</w:t>
            </w:r>
          </w:p>
        </w:tc>
        <w:tc>
          <w:tcPr>
            <w:tcW w:w="5819" w:type="dxa"/>
            <w:vAlign w:val="center"/>
          </w:tcPr>
          <w:p w14:paraId="5DB9F9CD">
            <w:pPr>
              <w:spacing w:line="400" w:lineRule="exact"/>
              <w:jc w:val="both"/>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无</w:t>
            </w:r>
          </w:p>
        </w:tc>
      </w:tr>
      <w:tr w14:paraId="6460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522" w:type="dxa"/>
            <w:gridSpan w:val="3"/>
          </w:tcPr>
          <w:p w14:paraId="546C81F4">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答复内容</w:t>
            </w:r>
          </w:p>
          <w:p w14:paraId="1BD881D2">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A</w:t>
            </w:r>
          </w:p>
          <w:p w14:paraId="75F38D35">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市工业和信息化局关于对市政协七届五次会议第20250392号提案答复意见的函</w:t>
            </w:r>
          </w:p>
          <w:p w14:paraId="66B78507">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51686B17">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尊敬的张弓委员：</w:t>
            </w:r>
          </w:p>
          <w:p w14:paraId="54558BC4">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市政协办公厅转来市政协七届五次会议第20250392号提案《关于重视本土人才和中小企业，培育创新增长的提案》收悉。非常感谢您对我市本土人才和中小企业创新发展的关心与支持。经认真研究，现答复如下：</w:t>
            </w:r>
          </w:p>
          <w:p w14:paraId="52C7A2F5">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一、关于重视扶持创新性中小企业</w:t>
            </w:r>
          </w:p>
          <w:p w14:paraId="663E5BFA">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中小企业在经济发展中发挥着重要作用，是创新的重要源泉。您提出的“重视扶持创新性中小企业”意见建议与我市政策导向十分契合。市委市政府高度重视支持中小企业创新发展，持续开展优质中小企业梯度培育，不断壮大创新型中小企业、专精特新中小企业、专精特新“小巨人”企业培育梯队，完善扶持政策，健全赋能体系，促进中小企业加快发展。2025年1月印发实施《深圳市关于促进专精特新中小企业高质量发展的行动计划（2025—2026年）》，进一步加大对专精特新中小企业的培育和支持力度。2025年2月市政府新闻办召开“打造最好科技创新生态和人才发展环境”主题新闻发布会，提出持续推动政策、资金、项目、平台、人才等创新资源更多布局在企业，充分调动广大中小微企业、初创企业的积极性和创造性，鼓励中小微企业自由探索、自主申报、承担研发攻关项目，推动各类公共半公共创新平台、创新载体、科技基础设施、科研仪器设备向中小微企业、初创企业以及社会各方面青年创业者开放共享。持续优化产业空间总体布局，创新空间保障方式，打造一批高品质、低成本的创新创业空间，满足创新性中小企业的空间需求。积极发展科技金融，通过千亿级产业引导基金、百亿级天使母基金和20亿元的科技创新种子基金，加强对创新性中小企业的金融支持，出台促进风投创投高质量发展行动方案，引导创投机构投早投小投长期投硬科技。</w:t>
            </w:r>
          </w:p>
          <w:p w14:paraId="77752EB9">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您的建议旨在加大对中小企业的资金支持力度。工信部《中小企业划型标准规定》采用从业人员、营业收入、资产总额等核心指标，分行业对企业进行划型，其中工业企业从业人员1000人以上且营业收入4亿元以上的为大企业。我市正在修订《深圳经济特区中小企业发展促进条例》，提出市、区财政年度预算应当安排扶持中小企业发展资金，支持企业发展的各类资金应当适当向中小企业倾斜。目前我市民营及中小企业发展项目扶持计划中的银行贷款担保费补贴项目、专精特新企业奖励项目、“创客中国”（深圳）创新创业大赛获奖奖励项目等，已明确大企业不符合申报条件。由于涉企资金扶持项目涉及部门较多，扶持项目的政策目标和条件要求也各不相同，相关政策主管部门将在满足国家和我市产业发展战略需求情况下，在扶持项目中对您的建议予以统筹考虑。</w:t>
            </w:r>
          </w:p>
          <w:p w14:paraId="7B7AFF1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二、关于完善人才认定标准</w:t>
            </w:r>
          </w:p>
          <w:p w14:paraId="2072660F">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市政府积极推动人才评价改革试点工作，于2024年1月印发《深圳市关于开展科技人才评价改革试点的实施方案》，以激发科技人才创新活力为目的，优化科技人才评价体系，引导各类科技人才人尽其才、才尽其用、用有所成。围绕我市承担国家重大攻关任务类、基础研究类、应用研究和技术开发类、社会公益研究类、科研仪器设备类、综合类别以及其他科技人才评价等六大主要科技人才类别，分类树立正确的评价导向，推动各试点单位会同承担国家重大攻关任务的“链主”“业主”企业以及开展前沿基础研究的企业等创新主体，细化人才评价标准、周期、方法、程序，凝练分类评价指标体系，促进科技界、产业界科研人才评价标准科学衔接。目前，市科技创新局已牵头凝练形成三级人才评价指标体系，下一步，将结合深圳的“鹏城孔雀”特聘岗位制度、职称评审、科研项目申报等政策，联合相关政府部门探索政策优化方向，进一步强化用人单位自主评价机制、创新科技人才评价方式、健全评价结果使用和激励机制，从试点单位和职能部门双向发力，对科技人才评价进行流程再造、模式重构、制度重塑，为科技人才评价提供更加科学、多元、灵活的改革范本，为加快建设具有全球重要影响力的产业科技创新中心提供有力人才支撑。</w:t>
            </w:r>
          </w:p>
          <w:p w14:paraId="6CCB2A98">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相关部门认真研究您的建议，目前市人力资源保障局所负责的相关政策，除专门针对服务留学生群体的专项政策以及国家对于粤港澳大湾区人才高地建设所要求的有关政策外，对人才没有特别限定。我市高层次人才政策文件中也已明确规定“坚持‘破四维’和‘立新标’并举，建立以创新价值、能力、贡献为导向的人才评价体系”。对于我市其它部门、各区现有政策中存在上述情况的，市人力资源保障局也将积极配合有关政策主管部门，探索新型人才认定方式。</w:t>
            </w:r>
          </w:p>
          <w:p w14:paraId="64D456FD">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再次感谢您对我市本土人才和中小企业创新发展的关心与支持！</w:t>
            </w:r>
          </w:p>
          <w:p w14:paraId="09430C8A">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专此答复。</w:t>
            </w:r>
          </w:p>
          <w:p w14:paraId="7CA68462">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7F5AFA25">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25608B57">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深圳市工业和信息化局</w:t>
            </w:r>
          </w:p>
          <w:p w14:paraId="4E659530">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2025年8月15日</w:t>
            </w:r>
          </w:p>
          <w:p w14:paraId="212FF0D5">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 xml:space="preserve">    </w:t>
            </w:r>
          </w:p>
          <w:p w14:paraId="48076D49">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（联系人：陈放，电话：83051495）</w:t>
            </w:r>
          </w:p>
          <w:p w14:paraId="5DEF29A4">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072AAD81">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77200942">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70F1DD0B">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192520B9">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公开方式：主动公开</w:t>
            </w:r>
          </w:p>
          <w:p w14:paraId="5BA8014F">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抄送：市政协提案委、市政府督查室</w:t>
            </w:r>
          </w:p>
          <w:p w14:paraId="19FB3F59">
            <w:pPr>
              <w:spacing w:line="400" w:lineRule="exact"/>
              <w:rPr>
                <w:rFonts w:hint="eastAsia" w:ascii="仿宋" w:hAnsi="仿宋" w:eastAsia="仿宋" w:cs="仿宋"/>
                <w:color w:val="000000" w:themeColor="text1"/>
                <w:sz w:val="28"/>
                <w:szCs w:val="28"/>
                <w:lang w:val="en-US" w:eastAsia="zh-CN"/>
                <w14:textFill>
                  <w14:solidFill>
                    <w14:schemeClr w14:val="tx1"/>
                  </w14:solidFill>
                </w14:textFill>
              </w:rPr>
            </w:pPr>
          </w:p>
          <w:p w14:paraId="2B537410">
            <w:pPr>
              <w:spacing w:line="400" w:lineRule="exact"/>
              <w:rPr>
                <w:rFonts w:ascii="宋体" w:hAnsi="宋体" w:eastAsia="宋体" w:cs="Times New Roman"/>
                <w:bCs/>
                <w:color w:val="000000"/>
                <w:sz w:val="24"/>
                <w:szCs w:val="24"/>
              </w:rPr>
            </w:pPr>
          </w:p>
          <w:p w14:paraId="14AB2DA1">
            <w:pPr>
              <w:spacing w:line="400" w:lineRule="exact"/>
              <w:jc w:val="both"/>
              <w:rPr>
                <w:rFonts w:hint="default" w:ascii="宋体" w:hAnsi="宋体" w:eastAsia="宋体" w:cs="Times New Roman"/>
                <w:b/>
                <w:color w:val="000000"/>
                <w:sz w:val="24"/>
                <w:szCs w:val="24"/>
                <w:lang w:val="en-US" w:eastAsia="zh-CN"/>
              </w:rPr>
            </w:pPr>
            <w:r>
              <w:rPr>
                <w:rFonts w:hint="eastAsia" w:ascii="宋体" w:hAnsi="宋体" w:eastAsia="宋体" w:cs="Times New Roman"/>
                <w:bCs/>
                <w:color w:val="000000"/>
                <w:sz w:val="24"/>
                <w:szCs w:val="24"/>
              </w:rPr>
              <w:t xml:space="preserve">         </w:t>
            </w:r>
            <w:r>
              <w:rPr>
                <w:rFonts w:hint="eastAsia" w:ascii="宋体" w:hAnsi="宋体" w:eastAsia="宋体" w:cs="Times New Roman"/>
                <w:bCs/>
                <w:color w:val="000000"/>
                <w:sz w:val="24"/>
                <w:szCs w:val="24"/>
                <w:lang w:val="en-US" w:eastAsia="zh-CN"/>
              </w:rPr>
              <w:t xml:space="preserve">                                      </w:t>
            </w:r>
            <w:r>
              <w:rPr>
                <w:rFonts w:hint="eastAsia" w:ascii="仿宋" w:hAnsi="仿宋" w:eastAsia="仿宋" w:cs="仿宋"/>
                <w:b/>
                <w:bCs/>
                <w:color w:val="000000"/>
                <w:sz w:val="28"/>
                <w:szCs w:val="28"/>
                <w:lang w:val="en-US" w:eastAsia="zh-CN"/>
              </w:rPr>
              <w:t>是否公开：</w:t>
            </w:r>
            <w:r>
              <w:rPr>
                <w:rFonts w:hint="eastAsia" w:ascii="仿宋" w:hAnsi="仿宋" w:eastAsia="仿宋" w:cs="仿宋"/>
                <w:color w:val="000000" w:themeColor="text1"/>
                <w:sz w:val="28"/>
                <w:szCs w:val="28"/>
                <w:lang w:val="en-US" w:eastAsia="zh-CN"/>
                <w14:textFill>
                  <w14:solidFill>
                    <w14:schemeClr w14:val="tx1"/>
                  </w14:solidFill>
                </w14:textFill>
              </w:rPr>
              <w:t>公开</w:t>
            </w:r>
          </w:p>
        </w:tc>
      </w:tr>
      <w:tr w14:paraId="08100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522" w:type="dxa"/>
            <w:gridSpan w:val="3"/>
          </w:tcPr>
          <w:p w14:paraId="1A395B71">
            <w:pPr>
              <w:spacing w:line="400" w:lineRule="exact"/>
              <w:jc w:val="both"/>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答复结果</w:t>
            </w:r>
          </w:p>
          <w:p w14:paraId="761321F5">
            <w:pPr>
              <w:spacing w:line="400" w:lineRule="exact"/>
              <w:rPr>
                <w:rFonts w:ascii="宋体" w:hAnsi="宋体" w:eastAsia="宋体" w:cs="Times New Roman"/>
                <w:color w:val="000000"/>
                <w:sz w:val="24"/>
                <w:szCs w:val="24"/>
                <w:u w:val="single"/>
              </w:rPr>
            </w:pPr>
            <w:r>
              <w:rPr>
                <w:rFonts w:ascii="宋体" w:hAnsi="宋体" w:eastAsia="宋体" w:cs="Times New Roman"/>
                <w:color w:val="000000"/>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8"/>
                <w:szCs w:val="28"/>
                <w:u w:val="single"/>
                <w:lang w:val="en-US" w:eastAsia="zh-CN"/>
              </w:rPr>
              <w:t>A</w:t>
            </w:r>
            <w:r>
              <w:rPr>
                <w:rFonts w:hint="eastAsia" w:ascii="仿宋" w:hAnsi="仿宋" w:eastAsia="仿宋" w:cs="仿宋"/>
                <w:color w:val="000000"/>
                <w:sz w:val="24"/>
                <w:szCs w:val="24"/>
                <w:u w:val="single"/>
              </w:rPr>
              <w:t xml:space="preserve"> </w:t>
            </w:r>
            <w:r>
              <w:rPr>
                <w:rFonts w:hint="eastAsia" w:ascii="仿宋" w:hAnsi="仿宋" w:eastAsia="仿宋" w:cs="仿宋"/>
                <w:b/>
                <w:bCs/>
                <w:color w:val="000000"/>
                <w:sz w:val="28"/>
                <w:szCs w:val="28"/>
                <w:lang w:val="en-US" w:eastAsia="zh-CN"/>
              </w:rPr>
              <w:t>类</w:t>
            </w:r>
          </w:p>
          <w:p w14:paraId="6F6E5786">
            <w:pPr>
              <w:spacing w:line="4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（A类：提案所提问题已经解决或基本解决；B类：提案所提问题正在解决或已列入计划准备解决；C类：提案所提问题因受目前条件限制或其他原因需以后研究解决；D类：留作参考。）</w:t>
            </w:r>
          </w:p>
          <w:p w14:paraId="12137E39">
            <w:pPr>
              <w:spacing w:line="400" w:lineRule="exact"/>
              <w:rPr>
                <w:rFonts w:ascii="宋体" w:hAnsi="宋体" w:eastAsia="宋体" w:cs="Times New Roman"/>
                <w:color w:val="000000"/>
                <w:sz w:val="24"/>
                <w:szCs w:val="24"/>
              </w:rPr>
            </w:pPr>
          </w:p>
        </w:tc>
      </w:tr>
    </w:tbl>
    <w:p w14:paraId="215AD391"/>
    <w:sectPr>
      <w:pgSz w:w="11906" w:h="16838"/>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lZjc5NzU4ZGUwYWY0YjI4YzEwNmJlZGExYWMxYjcifQ=="/>
  </w:docVars>
  <w:rsids>
    <w:rsidRoot w:val="00172A27"/>
    <w:rsid w:val="0008143B"/>
    <w:rsid w:val="00114C8B"/>
    <w:rsid w:val="00172A27"/>
    <w:rsid w:val="001743E8"/>
    <w:rsid w:val="001905DE"/>
    <w:rsid w:val="0020557F"/>
    <w:rsid w:val="0022236F"/>
    <w:rsid w:val="0032498D"/>
    <w:rsid w:val="00357243"/>
    <w:rsid w:val="003E2F50"/>
    <w:rsid w:val="00400A4F"/>
    <w:rsid w:val="00421852"/>
    <w:rsid w:val="0047585B"/>
    <w:rsid w:val="004B3E0B"/>
    <w:rsid w:val="004E1842"/>
    <w:rsid w:val="004F0D98"/>
    <w:rsid w:val="00524ADE"/>
    <w:rsid w:val="00593CA2"/>
    <w:rsid w:val="006972A4"/>
    <w:rsid w:val="007045FF"/>
    <w:rsid w:val="00742E3D"/>
    <w:rsid w:val="00842D42"/>
    <w:rsid w:val="008843EF"/>
    <w:rsid w:val="00A37C2A"/>
    <w:rsid w:val="00AA3F62"/>
    <w:rsid w:val="00AD314D"/>
    <w:rsid w:val="00C4675D"/>
    <w:rsid w:val="00C90EDC"/>
    <w:rsid w:val="00CA0734"/>
    <w:rsid w:val="00CD5057"/>
    <w:rsid w:val="00D300C8"/>
    <w:rsid w:val="00DA483D"/>
    <w:rsid w:val="00DE5C64"/>
    <w:rsid w:val="00E067A1"/>
    <w:rsid w:val="00E348E5"/>
    <w:rsid w:val="00E92D09"/>
    <w:rsid w:val="00EA40E8"/>
    <w:rsid w:val="00EC702C"/>
    <w:rsid w:val="00F633D8"/>
    <w:rsid w:val="00FC491D"/>
    <w:rsid w:val="02025461"/>
    <w:rsid w:val="045B37EA"/>
    <w:rsid w:val="076D5A73"/>
    <w:rsid w:val="0DCD0160"/>
    <w:rsid w:val="119B72CE"/>
    <w:rsid w:val="15A25C0B"/>
    <w:rsid w:val="185E641C"/>
    <w:rsid w:val="1FB45B95"/>
    <w:rsid w:val="20743577"/>
    <w:rsid w:val="219D08AB"/>
    <w:rsid w:val="23AB72AF"/>
    <w:rsid w:val="23D33308"/>
    <w:rsid w:val="24407A3E"/>
    <w:rsid w:val="251F22F5"/>
    <w:rsid w:val="268818C7"/>
    <w:rsid w:val="2AA34F9C"/>
    <w:rsid w:val="2AB70E33"/>
    <w:rsid w:val="2D1365D5"/>
    <w:rsid w:val="31F91B2E"/>
    <w:rsid w:val="32B3585D"/>
    <w:rsid w:val="3320101A"/>
    <w:rsid w:val="33EE55C1"/>
    <w:rsid w:val="34594B05"/>
    <w:rsid w:val="34C1641E"/>
    <w:rsid w:val="36EC048C"/>
    <w:rsid w:val="3CE328B4"/>
    <w:rsid w:val="401C18F7"/>
    <w:rsid w:val="410A7F42"/>
    <w:rsid w:val="418132C2"/>
    <w:rsid w:val="41AC096A"/>
    <w:rsid w:val="42DA32B5"/>
    <w:rsid w:val="491F5084"/>
    <w:rsid w:val="49365455"/>
    <w:rsid w:val="4E712D20"/>
    <w:rsid w:val="4E98737F"/>
    <w:rsid w:val="4FFB11C5"/>
    <w:rsid w:val="520619D1"/>
    <w:rsid w:val="538D399E"/>
    <w:rsid w:val="53E41AB0"/>
    <w:rsid w:val="573E766F"/>
    <w:rsid w:val="57C21BF9"/>
    <w:rsid w:val="59A85A64"/>
    <w:rsid w:val="5DAF06A1"/>
    <w:rsid w:val="605E6E7C"/>
    <w:rsid w:val="64FD3107"/>
    <w:rsid w:val="66424FF7"/>
    <w:rsid w:val="6D2B3C26"/>
    <w:rsid w:val="6E82467D"/>
    <w:rsid w:val="73727D47"/>
    <w:rsid w:val="748051BB"/>
    <w:rsid w:val="776E137D"/>
    <w:rsid w:val="7B5D6256"/>
    <w:rsid w:val="7CD868E1"/>
    <w:rsid w:val="7F496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3874</Words>
  <Characters>3964</Characters>
  <Lines>1</Lines>
  <Paragraphs>1</Paragraphs>
  <TotalTime>42</TotalTime>
  <ScaleCrop>false</ScaleCrop>
  <LinksUpToDate>false</LinksUpToDate>
  <CharactersWithSpaces>4057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dc:creator>
  <cp:lastModifiedBy>lulu最爱重口味</cp:lastModifiedBy>
  <dcterms:modified xsi:type="dcterms:W3CDTF">2025-11-11T02:34:18Z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051E9D70FBFC428299A73635EDBC4EC6_12</vt:lpwstr>
  </property>
  <property fmtid="{D5CDD505-2E9C-101B-9397-08002B2CF9AE}" pid="4" name="KSOTemplateDocerSaveRecord">
    <vt:lpwstr>eyJoZGlkIjoiZjg5NzkwMWRjZjBiNzk5YzVmYWFlYWYzZTQ2OTE0Y2YiLCJ1c2VySWQiOiIzMzExNTQxOTkifQ==</vt:lpwstr>
  </property>
</Properties>
</file>