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E0798">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0812BC22">
      <w:pPr>
        <w:spacing w:line="240" w:lineRule="auto"/>
        <w:rPr>
          <w:rFonts w:hint="eastAsia" w:ascii="仿宋_GB2312" w:hAnsi="仿宋_GB2312" w:eastAsia="仿宋_GB2312" w:cs="仿宋_GB2312"/>
          <w:b w:val="0"/>
          <w:sz w:val="32"/>
          <w:lang w:eastAsia="zh-CN"/>
        </w:rPr>
      </w:pPr>
    </w:p>
    <w:p w14:paraId="61BCA302">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20250906</w:t>
      </w:r>
      <w:r>
        <w:rPr>
          <w:rFonts w:hint="eastAsia" w:ascii="仿宋_GB2312" w:hAnsi="仿宋_GB2312" w:eastAsia="仿宋_GB2312" w:cs="仿宋_GB2312"/>
          <w:b w:val="0"/>
          <w:sz w:val="32"/>
          <w:lang w:eastAsia="zh-CN"/>
        </w:rPr>
        <w:t>号</w:t>
      </w:r>
    </w:p>
    <w:p w14:paraId="107F246A">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关于加快启动高性能合成材料专项促进深圳现有优势产业高质量发展的建议</w:t>
      </w:r>
    </w:p>
    <w:p w14:paraId="685CFAB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孙蓉,周元媛,姚云峰,张世明,曹永青,杨加禄,林春伟,林玉堂,梁金兴,费英英,陈焱,黄少辉(共12名)</w:t>
      </w:r>
    </w:p>
    <w:p w14:paraId="26661F4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6A394BB4">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市工业和信息化局,市科技创新局,宝安区人民政府</w:t>
      </w:r>
    </w:p>
    <w:p w14:paraId="224396E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4F515F3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1AFCEA1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作为全国科技创新高地和先进制造业中心，近年来在新材料领域取得显著进展，电子信息材料、生物医用材料等领域已形成集聚效应。然而，面对全球产业链重构和技术竞争加剧，深圳在高性能合成材料的核心技术自主化、产业链协同效率、规模化应用验证等方面面临以下问题：（1）多数材料企业创新研发能力不足，尤其是缺乏原材料自主合成能力，依赖“拿来主义”，易被“卡脖子”；（2）龙头企业因验证成本高、更换风险大，缺乏使用国产材料的动力，使国产材料难以进入其体系，无法快速迭代，形成恶性循环；（3）产业转化缺检测、中试、验证等公共服务平台支撑，也缺顶层产业空间布局规划，阻碍高端材料打通应用“最后一公里”。</w:t>
      </w:r>
    </w:p>
    <w:p w14:paraId="2DB7A1A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为此，亟需通过专项布局，整合“政产学研用”资源，推动高性能合成材料快速突破，利用培育一批具有国际竞争力的“隐形冠军”企业，促进深圳现有优势产业高质量发展。</w:t>
      </w:r>
    </w:p>
    <w:p w14:paraId="1D3A0F0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799A5FE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 设立专项研发资金，加速核心技术攻关</w:t>
      </w:r>
    </w:p>
    <w:p w14:paraId="0B9605E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市科创局牵头，设立“高性能合成材料专项研发资金”，由企业出题，对“卡脖子”合成材料研发给予补贴，优先支持与骨干企业联合实验室及共性技术平台建设。电子信息合成材料领域，重点突破光刻胶及配套试剂、先进封装材料、新型显示材料等“卡脖子”技术，支持企业联合研究机构、高校开展面向AI芯片的专用材料研发。生物合成材料领域，攻关人工器官用高分子材料、可降解生物支架、基因编辑载体材料等，推动与合成生物技术交叉融合，提升材料功能性与安全性。</w:t>
      </w:r>
    </w:p>
    <w:p w14:paraId="7E1D6F8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 支持公共服务平台建设，优化产业空间布局</w:t>
      </w:r>
    </w:p>
    <w:p w14:paraId="0CC46C8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市科创局牵头，加大对材料领域概念验证、中试、验证平台的支持力度，从技术研发、分析检测、中试放大、工艺验证、产业协同等多维度支持平台建设；积极推动一批深圳市代表性平台项目进入国家部委及广东省在相关领域的重点项目清单。产业空间方面，建议市级层面统筹规划，依据细分领域和各区产业特色，打造定位明确、各具特色的产业园区，如在宝安区围绕已有产业优势，规划建设先进材料产业创新基地，以优势平台为核心打造集群产业园，吸引上下游企业集聚。</w:t>
      </w:r>
    </w:p>
    <w:p w14:paraId="64F0740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 构建“需求牵引+应用验证”协同机制</w:t>
      </w:r>
    </w:p>
    <w:p w14:paraId="0EB85EC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政府主导需求对接，由市工信局牵头，梳理本地龙头企业（如华为、鹏芯微、重投天科、迈瑞医疗等）的合成材料需求清单，建立“企业提需求-科研团队攻关-政府协调验证”的闭环机制，缩短研发到应用周期。</w:t>
      </w:r>
    </w:p>
    <w:p w14:paraId="7626B87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32D6E402">
      <w:pPr>
        <w:rPr>
          <w:sz w:val="40"/>
          <w:szCs w:val="40"/>
        </w:rPr>
      </w:pPr>
    </w:p>
    <w:p w14:paraId="727FE0C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90F048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3BB32B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C6CA4D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52E29E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3031A2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77C5F2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8E3E10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2B9DC9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EC6CAE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3A69C8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82C2C1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BE24F6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尊敬的孙蓉等代表：</w:t>
      </w:r>
    </w:p>
    <w:p w14:paraId="6C51A0A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市工业和信息化局关于对市七届人大六次会议第20250906</w:t>
      </w:r>
      <w:bookmarkStart w:id="0" w:name="_GoBack"/>
      <w:bookmarkEnd w:id="0"/>
      <w:r>
        <w:rPr>
          <w:rFonts w:hint="eastAsia" w:ascii="仿宋_GB2312" w:hAnsi="仿宋_GB2312" w:eastAsia="仿宋_GB2312" w:cs="仿宋_GB2312"/>
          <w:sz w:val="32"/>
          <w:szCs w:val="32"/>
          <w:lang w:val="en-US" w:eastAsia="zh-CN"/>
        </w:rPr>
        <w:t>号建议答复意见的函</w:t>
      </w:r>
    </w:p>
    <w:p w14:paraId="324908F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20250906号建议《关于加快启动高性能合成材料专项促进深圳现有优势产业高质量发展的建议》收悉。非常感谢您对高性能合成材料产业发展的关心与支持。关于“构建‘需求牵引+应用验证’协同机制”的建议，经认真研究，现答复如下：</w:t>
      </w:r>
    </w:p>
    <w:p w14:paraId="0C1ACC0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一、完善高性能合成材料产业政策体系</w:t>
      </w:r>
    </w:p>
    <w:p w14:paraId="716CCFA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印发《深圳市高性能合成材料高质量发展三年行动计划（2025-2027年）》，围绕半导体与集成电路、超高清视频显示、通讯智能终端与传感器、低空经济与空天、高性能电池与电控电机、高性能医用材料、具身机器人7大领域重点发展20种高性能合成材料。《行动计划》提出“促进应用验证体系化”，从建设应用验证共享平台、提高材料应用验证能力、拓展应用验证需求对接等方面，促进材料的应用验证。</w:t>
      </w:r>
    </w:p>
    <w:p w14:paraId="390C333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二、加大资金扶持力度</w:t>
      </w:r>
    </w:p>
    <w:p w14:paraId="739296E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印发《市工业和信息化局新材料产业发展扶持计划操作规程》，设立新材料产业发展扶持计划，通过扶持五大类项目（包括关键材料测试验证平台、新材料研发产业化、产业链关键环节提升、首批次新材料和产业服务体系），围绕研发、生产应用到产业服务等关键环节，支持高性能合成材料产业高质量发展。其中，支持企业、研究机构等围绕芯片制造封装、新型显示、高端通讯器件等领域的关键核心材料，面向我市新材料企业搭建提供相关材料研发、验证、改进等服务的测试验证平台项目，给予项目单位最高不超过5000万元资助。</w:t>
      </w:r>
    </w:p>
    <w:p w14:paraId="0350A4C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三、拓宽产品应用示范场景</w:t>
      </w:r>
    </w:p>
    <w:p w14:paraId="64D95B2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组织高性能材料企业开展走进终端应用企业等产业对接活动，促进瑞华泰、沃特等优质企业与华星光电、比亚迪等下游龙头企业加强合作；组织新材料企业与时尚产业、工业设计、消费电子、低空等领域企业对接，推动跨界融合。适时更新我市重点新材料首批次示范应用目录，鼓励首批次新材料的推广应用，加快创新技术成果转化。</w:t>
      </w:r>
    </w:p>
    <w:p w14:paraId="4ECDC8D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深圳市将持续推动高性能合成材料产业高质量发展，做好深圳本土材料企业“一对一”服务，围绕下游龙头企业应用需求，建立“企业提需求-科研团队攻关-政府协调验证”的闭环机制，缩短研发到应用周期，增强关键产品供给能力，有力支撑我市“20+8”产业集群高质量发展。</w:t>
      </w:r>
    </w:p>
    <w:p w14:paraId="41BE4D1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再次感谢您对高性能合成材料产业发展的关心与支持！</w:t>
      </w:r>
    </w:p>
    <w:p w14:paraId="5FF78E5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1111A1FF">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5127C908">
      <w:pPr>
        <w:rPr>
          <w:sz w:val="36"/>
          <w:szCs w:val="36"/>
        </w:rPr>
      </w:pPr>
    </w:p>
    <w:p w14:paraId="44353C27">
      <w:pPr>
        <w:rPr>
          <w:sz w:val="40"/>
          <w:szCs w:val="40"/>
        </w:rPr>
      </w:pPr>
    </w:p>
    <w:p w14:paraId="1F4A3930">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14B23D5"/>
    <w:rsid w:val="731474DA"/>
    <w:rsid w:val="732C1598"/>
    <w:rsid w:val="73735F79"/>
    <w:rsid w:val="79C42974"/>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1984</Words>
  <Characters>2065</Characters>
  <Lines>0</Lines>
  <Paragraphs>0</Paragraphs>
  <TotalTime>0</TotalTime>
  <ScaleCrop>false</ScaleCrop>
  <LinksUpToDate>false</LinksUpToDate>
  <CharactersWithSpaces>2156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