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0EFA623">
      <w:pPr>
        <w:spacing w:line="240" w:lineRule="auto"/>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lang w:val="en-US" w:eastAsia="zh-CN"/>
        </w:rPr>
        <w:t>密级：</w:t>
      </w:r>
      <w:r>
        <w:rPr>
          <w:rFonts w:hint="eastAsia" w:ascii="仿宋_GB2312" w:hAnsi="仿宋_GB2312" w:eastAsia="仿宋_GB2312" w:cs="仿宋_GB2312"/>
          <w:b w:val="0"/>
          <w:sz w:val="32"/>
          <w:szCs w:val="32"/>
          <w:lang w:val="en-US" w:eastAsia="zh-CN"/>
        </w:rPr>
        <w:t>公开</w:t>
      </w:r>
    </w:p>
    <w:p w14:paraId="3FAADD47">
      <w:pPr>
        <w:spacing w:line="240" w:lineRule="auto"/>
        <w:rPr>
          <w:rFonts w:hint="eastAsia" w:ascii="仿宋_GB2312" w:hAnsi="仿宋_GB2312" w:eastAsia="仿宋_GB2312" w:cs="仿宋_GB2312"/>
          <w:b w:val="0"/>
          <w:sz w:val="32"/>
          <w:lang w:eastAsia="zh-CN"/>
        </w:rPr>
      </w:pPr>
    </w:p>
    <w:p w14:paraId="1EE1D579">
      <w:pPr>
        <w:spacing w:line="240" w:lineRule="auto"/>
        <w:rPr>
          <w:rFonts w:hint="eastAsia" w:ascii="仿宋_GB2312" w:hAnsi="仿宋_GB2312" w:eastAsia="仿宋_GB2312" w:cs="仿宋_GB2312"/>
          <w:b w:val="0"/>
          <w:sz w:val="32"/>
          <w:lang w:eastAsia="zh-CN"/>
        </w:rPr>
      </w:pPr>
      <w:r>
        <w:rPr>
          <w:rFonts w:hint="eastAsia" w:ascii="仿宋_GB2312" w:hAnsi="仿宋_GB2312" w:eastAsia="仿宋_GB2312" w:cs="仿宋_GB2312"/>
          <w:b w:val="0"/>
          <w:sz w:val="32"/>
          <w:szCs w:val="32"/>
          <w:lang w:val="en-US" w:eastAsia="zh-CN"/>
        </w:rPr>
        <w:t>建议</w:t>
      </w:r>
      <w:r>
        <w:rPr>
          <w:rFonts w:hint="eastAsia" w:ascii="仿宋_GB2312" w:hAnsi="仿宋_GB2312" w:eastAsia="仿宋_GB2312" w:cs="仿宋_GB2312"/>
          <w:b w:val="0"/>
          <w:sz w:val="32"/>
          <w:lang w:eastAsia="zh-CN"/>
        </w:rPr>
        <w:t>第</w:t>
      </w:r>
      <w:r>
        <w:rPr>
          <w:rFonts w:hint="eastAsia" w:ascii="仿宋_GB2312" w:hAnsi="仿宋_GB2312" w:eastAsia="仿宋_GB2312" w:cs="仿宋_GB2312"/>
          <w:b w:val="0"/>
          <w:sz w:val="28"/>
          <w:lang w:val="en-US" w:eastAsia="zh-CN"/>
        </w:rPr>
        <w:t>20250192</w:t>
      </w:r>
      <w:r>
        <w:rPr>
          <w:rFonts w:hint="eastAsia" w:ascii="仿宋_GB2312" w:hAnsi="仿宋_GB2312" w:eastAsia="仿宋_GB2312" w:cs="仿宋_GB2312"/>
          <w:b w:val="0"/>
          <w:sz w:val="32"/>
          <w:lang w:eastAsia="zh-CN"/>
        </w:rPr>
        <w:t>号</w:t>
      </w:r>
    </w:p>
    <w:p w14:paraId="53A2B532">
      <w:pPr>
        <w:spacing w:line="240" w:lineRule="auto"/>
        <w:ind w:left="1506" w:leftChars="0" w:right="0" w:rightChars="0" w:hanging="1506" w:hangingChars="500"/>
        <w:rPr>
          <w:rFonts w:hint="eastAsia" w:ascii="仿宋_GB2312" w:hAnsi="仿宋_GB2312" w:eastAsia="仿宋_GB2312" w:cs="仿宋_GB2312"/>
          <w:b w:val="0"/>
          <w:sz w:val="30"/>
          <w:szCs w:val="30"/>
          <w:lang w:eastAsia="zh-CN"/>
        </w:rPr>
      </w:pPr>
      <w:r>
        <w:rPr>
          <w:rFonts w:hint="eastAsia" w:ascii="仿宋_GB2312" w:hAnsi="仿宋_GB2312" w:eastAsia="仿宋_GB2312" w:cs="仿宋_GB2312"/>
          <w:b/>
          <w:bCs/>
          <w:sz w:val="30"/>
          <w:szCs w:val="30"/>
          <w:lang w:eastAsia="zh-CN"/>
        </w:rPr>
        <w:t>案    由</w:t>
      </w:r>
      <w:r>
        <w:rPr>
          <w:rFonts w:hint="eastAsia" w:ascii="仿宋_GB2312" w:hAnsi="仿宋_GB2312" w:eastAsia="仿宋_GB2312" w:cs="仿宋_GB2312"/>
          <w:b w:val="0"/>
          <w:sz w:val="30"/>
          <w:szCs w:val="30"/>
          <w:lang w:eastAsia="zh-CN"/>
        </w:rPr>
        <w:t>：</w:t>
      </w:r>
      <w:r>
        <w:rPr>
          <w:rFonts w:hint="eastAsia" w:ascii="仿宋_GB2312" w:hAnsi="仿宋_GB2312" w:eastAsia="仿宋_GB2312" w:cs="仿宋_GB2312"/>
          <w:b w:val="0"/>
          <w:sz w:val="30"/>
          <w:szCs w:val="30"/>
          <w:lang w:val="en-US" w:eastAsia="zh-CN"/>
        </w:rPr>
        <w:t>关于推动黄金珠宝产业循环经济发展的建议</w:t>
      </w:r>
    </w:p>
    <w:p w14:paraId="0807908C">
      <w:pPr>
        <w:spacing w:line="240" w:lineRule="auto"/>
        <w:ind w:left="1606" w:leftChars="0" w:right="0" w:rightChars="0" w:hanging="1606" w:hangingChars="50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提 出 人：</w:t>
      </w:r>
      <w:r>
        <w:rPr>
          <w:rFonts w:hint="eastAsia" w:ascii="仿宋_GB2312" w:hAnsi="仿宋_GB2312" w:eastAsia="仿宋_GB2312" w:cs="仿宋_GB2312"/>
          <w:b w:val="0"/>
          <w:sz w:val="32"/>
          <w:szCs w:val="32"/>
          <w:lang w:val="en-US" w:eastAsia="zh-CN"/>
        </w:rPr>
        <w:t>王琦(共1名)</w:t>
      </w:r>
    </w:p>
    <w:p w14:paraId="79850537">
      <w:pPr>
        <w:spacing w:line="240" w:lineRule="auto"/>
        <w:ind w:left="1606" w:leftChars="0" w:right="0" w:rightChars="0" w:hanging="1606" w:hangingChars="50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办理类型：</w:t>
      </w:r>
      <w:r>
        <w:rPr>
          <w:rFonts w:hint="eastAsia" w:ascii="仿宋_GB2312" w:hAnsi="仿宋_GB2312" w:eastAsia="仿宋_GB2312" w:cs="仿宋_GB2312"/>
          <w:b w:val="0"/>
          <w:sz w:val="32"/>
          <w:szCs w:val="32"/>
          <w:lang w:val="en-US" w:eastAsia="zh-CN"/>
        </w:rPr>
        <w:t>主汇办</w:t>
      </w:r>
    </w:p>
    <w:p w14:paraId="2941D943">
      <w:pPr>
        <w:spacing w:line="240" w:lineRule="auto"/>
        <w:ind w:left="1606" w:leftChars="0" w:right="0" w:rightChars="0" w:hanging="1606" w:hangingChars="50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承办单位：</w:t>
      </w:r>
      <w:r>
        <w:rPr>
          <w:rFonts w:hint="eastAsia" w:ascii="仿宋_GB2312" w:hAnsi="仿宋_GB2312" w:eastAsia="仿宋_GB2312" w:cs="仿宋_GB2312"/>
          <w:b w:val="0"/>
          <w:sz w:val="32"/>
          <w:szCs w:val="32"/>
          <w:lang w:val="en-US" w:eastAsia="zh-CN"/>
        </w:rPr>
        <w:t>市工业和信息化局(主办),市商务局,市市场监督管理局,罗湖区人民政府,盐田区人民政府,龙岗区人民政府</w:t>
      </w:r>
    </w:p>
    <w:p w14:paraId="07B113B6">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内    容：</w:t>
      </w:r>
    </w:p>
    <w:p w14:paraId="6D417651">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2021年7月，国家发展改革委印发的“十四五”循环经济发展规划，规划明确指出，大力发展循环经济，推进资源节约集约利用，构建资源循环型产业体系和废旧物资循环利用体系，对于保障国家资源安全、实现碳达峰与碳中和目标、促进生态文明建设具有不可估量的重大意义。这一规划犹如一盏明灯，照亮了各行业迈向循环经济的前行道路。</w:t>
      </w:r>
    </w:p>
    <w:p w14:paraId="1EB82BA4">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2024年7月，中共中央、国务院发布的《关于加快经济社会发展全面绿色转型的意见》，进一步强调了循环经济在经济社会发展中的重要地位。2024年11月15日，商务部等七部门联合印发的《零售业创新提升工程实施方案》，聚焦零售业的创新发展，着重强调推动数字化赋能，促进实体零售与数字经济的深度融合。</w:t>
      </w:r>
    </w:p>
    <w:p w14:paraId="408EED82">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深圳作为改革开放的前沿阵地，在循环经济发展方面一直走在前列。早在2006年，深圳就发布了《深圳经济特区循环经济促进条例》，并于2019年对其进行了进一步修订完善。2022年12月12日，深圳市人民政府办公厅印发的《深圳市促进绿色低碳产业高质量发展的若干措施》，以科学发展观为指导，秉持减量化、再利用、资源化的原则，在技术和经济可行的范围内，力求最大限度地降低资源消耗，减少废弃物的产生，实现资源的高效利用和循环利用。政府通过加强技术开发和创新体系建设，推动循环经济技术创新和技术进步，鼓励和扶持循环经济技术研究和产品开发。对于采用资源节约和循环利用新工艺、新技术的企业，以及生产循环产品的企业，给予高新技术企业的优惠政策支持，激发了企业参与循环经济发展的积极性。黄金珠宝产业作为深圳的传统优势产业，鉴于黄金资源的不可再生性，正面临着迫切的转型升级需求。在此背景下，推动循环经济的发展已成为该产业优化升级的重要战略方向。通过促进资源的循环利用和高效利用，不仅能够缓解黄金资源稀缺的压力，还能提升产业的可持续发展能力，确保黄金珠宝产业在深圳及全球市场中保持领先地位。</w:t>
      </w:r>
    </w:p>
    <w:p w14:paraId="157D1226">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一、事由</w:t>
      </w:r>
    </w:p>
    <w:p w14:paraId="50E077CA">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根据公开数据推算，我国民间存金量已超1万吨，按照黄金的公允价格计算，这些黄金价值约5.9万亿元，堪称一座巨大的“隐形金矿”。在当前金价上涨与新兴消费力不足的市场环境下，激活这部分存量经济，成为传统黄金珠宝产业转型升级的关键突破口。金雅福黄金智慧零售模式的出现，为民间存量黄金的流通变现提供了一站式解决方案，消费者可以便捷地进行买金卖金操作。这一模式不仅盘活了沉睡的黄金资产，使民间存量黄金重新进入市场流通，而且黄金回收所释放出的资金，又以黄金珠宝消费的形式再次注入市场，形成了良性的经济循环，有力地促进了增量经济的发展。</w:t>
      </w:r>
    </w:p>
    <w:p w14:paraId="5343F911">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从资源保障和环境保护的角度来看，黄金制品的回收再利用具有不可替代的重要作用。通过回收再利用，可以有效补充原生资源的不足，减少对有限原生矿的过度开采和依赖，确保黄金产业在全球范围内的长期稳定发展。同时，循环经济所倡导的资源高效利用和废弃物最小化排放理念，促使黄金企业在生产经营过程中不断降低能耗、减少污染，积极履行企业社会责任，从而树立良好的企业形象，增强品牌认可度和市场竞争力。在消费者环保意识日益增强的今天，企业的社会责任担当已成为影响消费者购买决策的重要因素之一。</w:t>
      </w:r>
    </w:p>
    <w:p w14:paraId="4620DF6B">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二、推动黄金珠宝产业循环经济发展具体建议</w:t>
      </w:r>
    </w:p>
    <w:p w14:paraId="78B05D54">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（一）打造标杆项目，引领产业集群发展</w:t>
      </w:r>
    </w:p>
    <w:p w14:paraId="74814CD1">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构建深圳市黄金珠宝行业循环经济标杆项目，是推动产业整体升级的关键举措。通过精心筛选全市黄金珠宝循环经济典型案例，从企业技术创新、品牌升级、模式创新等多个维度进行深度挖掘和提升，打造具有示范引领作用的黄金珠宝产业循环经济标杆项目。这些标杆项目不仅要在技术创新上取得突破，采用先进的黄金回收技术和绿色生产工艺，还要注重品牌建设，通过提升品牌形象和服务质量，增强品牌的市场影响力。同时，积极探索创新商业模式，如线上线下融合的销售模式、会员制服务模式等，满足消费者多样化的需求。通过政府的政策支持和资源引导，助力这些成功案例在全市乃至全国范围内进行有效复制和推广，培育更多优质项目，打造具有国际竞争力的黄金珠宝产业集群。</w:t>
      </w:r>
    </w:p>
    <w:p w14:paraId="73186BD2">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（二）建立标准体系，夯实产业发展基础</w:t>
      </w:r>
    </w:p>
    <w:p w14:paraId="0C4797E5">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鼓励龙头企业依据国家相关标准和政策要求，结合黄金珠宝商贸流通的独特特点，建立和规范黄金循环经济的标准体系。该标准体系应涵盖交易风险管控、物流管理、信息管理、反洗钱管理、标准化流程管理、客户隐私保护等多个关键领域，确保黄金循环经济活动的规范化、标准化运行。在深圳市范围内广泛征集黄金珠宝产业循环经济标准化试点企业，从政策引导、标准规范、资金支持、人才培养等多个方面提供全方位的支持保障，助力企业起草和发起相关标准，进一步完善我国黄金循环经济的国家标准建设体系。标准的制定和完善不仅可以规范市场秩序，提高行业整体水平，还可以增强我国黄金珠宝产业在国际市场上的话语权和竞争力。</w:t>
      </w:r>
    </w:p>
    <w:p w14:paraId="122125C3">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（三）搭建数字化平台，提升交易安全与效率</w:t>
      </w:r>
    </w:p>
    <w:p w14:paraId="7C858D7C">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支持黄金珠宝龙头企业设立全国性、功能性黄金循环经济数字化平台，这是顺应数字化时代发展潮流的必然选择。目前，黄金制品消费者在回收黄金时，常常面临渠道不便利、价格不公开、检测不透明、品牌限制多等诸多难题。而数字化交易平台具有交易过程可视化、价格透明化、数据安全可追溯等显著优点，可以有效解决这些问题。通过数字化平台，消费者可以实时了解黄金回收的价格和流程，确保交易的公平公正；企业可以实现对交易数据的实时监控和管理，提高交易效率和风险管控能力；监管部门可以通过平台对黄金交易进行有效监管，积极响应国家反洗钱等战略要求，保障金融市场的稳定安全。</w:t>
      </w:r>
    </w:p>
    <w:p w14:paraId="4838FFA3">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（四）创新驱动发展，优化产业服务供给</w:t>
      </w:r>
    </w:p>
    <w:p w14:paraId="5A408DEF">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坚持创新驱动，优化黄金珠宝服务业的循环供给，是推动产业高质量发展的核心动力。鼓励和引导黄金珠宝企业加快在黄金珠宝回收、销售等环节的新零售、新业态、新技术和新模式的探索与应用。通过引入大数据、人工智能、区块链等先进技术，实现精准营销、个性化定制、智能供应链管理等创新服务，提升消费者的购物体验。同时，促进黄金珠宝商贸企业推出更环保、更具创新性的产品和项目，培育壮大一批黄金珠宝现代商贸流通领军企业。这些领军企业不仅要在国内市场占据领先地位，还要积极拓展国际市场，提升我国黄金珠宝产业的国际影响力。</w:t>
      </w:r>
    </w:p>
    <w:p w14:paraId="657958EF">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（五）发展智慧零售，激活存量促进增量</w:t>
      </w:r>
    </w:p>
    <w:p w14:paraId="52C5212C">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结合市场特点，鼓励发展黄金回收和销售相结合的智慧零售项目，是激活民间存量黄金、促进增量经济发展的有效途径。通过培养消费者的黄金回收习惯，引导消费者将闲置的黄金进行回收变现，实现民间存量黄金的流通和再利用。同时，利用回收所释放出的资金，刺激消费者进行黄金珠宝消费和其他消费，形成经济的良性循环。为了实现这一目标，可以通过开展宣传推广活动、提供便捷的回收服务、建立合理的价格体系等方式，提高消费者对黄金回收的认知度和参与度。此外，还可以探索与金融机构合作，推出黄金金融产品，进一步丰富黄金回收和销售的业务模式，促进黄金珠宝产业与金融产业的深度融合。</w:t>
      </w:r>
    </w:p>
    <w:p w14:paraId="04088817">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在政策的有力支持和市场的积极推动下，黄金珠宝产业的循环经济发展前景广阔。通过构建标杆项目、建立标准体系、搭建数字化平台、创新驱动发展和发展智慧零售等一系列举措，深圳有望在黄金珠宝产业循环经济领域取得突破性进展，为全国乃至全球的黄金珠宝产业可持续发展提供宝贵的经验和借鉴。</w:t>
      </w:r>
    </w:p>
    <w:p w14:paraId="43CED4CB">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 w:hAnsi="仿宋" w:eastAsia="仿宋" w:cs="仿宋"/>
          <w:sz w:val="24"/>
          <w:szCs w:val="24"/>
          <w:lang w:val="en-US" w:eastAsia="zh-CN"/>
        </w:rPr>
      </w:pPr>
    </w:p>
    <w:p w14:paraId="75054845">
      <w:pPr>
        <w:rPr>
          <w:sz w:val="40"/>
          <w:szCs w:val="40"/>
        </w:rPr>
      </w:pPr>
    </w:p>
    <w:p w14:paraId="1E72303C">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r>
        <w:rPr>
          <w:rFonts w:hint="eastAsia" w:ascii="仿宋_GB2312" w:hAnsi="仿宋_GB2312" w:eastAsia="仿宋_GB2312" w:cs="仿宋_GB2312"/>
          <w:b/>
          <w:bCs/>
          <w:sz w:val="32"/>
          <w:szCs w:val="32"/>
          <w:lang w:eastAsia="zh-CN"/>
        </w:rPr>
        <w:t>答复内容：</w:t>
      </w:r>
    </w:p>
    <w:p w14:paraId="39C7F23B">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A类</w:t>
      </w:r>
    </w:p>
    <w:p w14:paraId="53D5E671">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center"/>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市工业和信息化局关于对市七届人大六次会议第20250192号建议答复意见的函</w:t>
      </w:r>
    </w:p>
    <w:p w14:paraId="7C172CF3">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尊敬的王琦等代表：</w:t>
      </w:r>
    </w:p>
    <w:p w14:paraId="767DA5BC">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您在市七届人大六次会议上提出的第20250192号《关于推动黄金珠宝产业循环经济发展的建议》收悉。非常感谢您对黄金珠宝产业发展的关心与支持。经认真研究，现答复如下：</w:t>
      </w:r>
    </w:p>
    <w:p w14:paraId="7B905D9E">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一、关于“打造标杆项目，引领产业集群发展”的建议</w:t>
      </w:r>
    </w:p>
    <w:p w14:paraId="74447A44">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一是市工业和信息化局落实好工业和信息化部绿色工厂创建工作，推动我市制造业企业用地集约化、原料无害化、生产洁净化、废物资源化、能源低碳化。我市先后有深圳市联合蓝海黄金材料科技股份有限公司、深圳市点金贵金属精炼有限公司入选绿色工厂。以绿色工厂为引领带动，以点带面促进全市黄金珠宝产业集群向绿色低碳方向高质量发展，助力打造更多具有全国影响力的绿色产业标杆项目。</w:t>
      </w:r>
    </w:p>
    <w:p w14:paraId="224DDC20">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二是罗湖区支持国有资本（国润黄金）打造深圳黄金流转综合服务平台，为行业提供黄金供应、提前锁价、延迟结价、碎片化锁价等服务，为黄金回收合规化发展提供支撑。目前平台年营收已突破30亿元。支持深圳珠宝产业服务有限公司（深圳国际珠宝玉石综合贸易平台的运营公司）、深圳市赑升循环经济产业发展有限公司等企业申报二手商品流通试点，积极推动深圳国际珠宝玉石综合贸易平台申请拍卖资质。</w:t>
      </w:r>
    </w:p>
    <w:p w14:paraId="467C36F8">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三是盐田区探索“生态优先、产业升级”协同发展新路径，推动全市首个黄金珠宝无氰镀金绿色园区正式落地，引导传统黄金珠宝产业向“无毒化、低耗化、循环化”转型升级，助力全市黄金珠宝产业绿色转型。</w:t>
      </w:r>
    </w:p>
    <w:p w14:paraId="20F319F7">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二、关于“建立标准体系，夯实产业发展基础”的建议</w:t>
      </w:r>
    </w:p>
    <w:p w14:paraId="6C62E2D5">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一是由市商务局会同市市场监督管理局发布了《珠宝行业经营服务规范》《贵金属及珠宝玉石饰品检测机构检测过程数字化要求》《贵金属及珠宝玉石饰品检测机构检测证书数字化要求》等多项地方标准。周大福、深圳百泰等深圳企业参与制定国际标准《首饰和贵金属极高含量金的测定ICP-MS差减法》（ISO5724:2023）、国家标准《首饰和贵金属及其合金的取样》（GB/T 43569-2023）和团体标准《无氰电铸硬金饰品》的制定。截至目前，市市场监管局已发布无氰硬金饰品等8个黄金珠宝产品深圳标准认证目录，共有深圳百泰投资控股集团有限公司等16家企业获得31张深圳标准认证证书。</w:t>
      </w:r>
    </w:p>
    <w:p w14:paraId="49D35B87">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二是罗湖区已组织贵金属及珠宝玉石饰品企业标准联盟等机构开展行业标准制定工作，目前正在编制的涉及黄金珠宝循环经济的标准有《绿色产品评价贵金属饰品》（国家标准）、《黄金制品回收经营服务通用要求》（团体标准）。</w:t>
      </w:r>
    </w:p>
    <w:p w14:paraId="61D564E2">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三是龙岗区鼓励支持行业协会和企业参与黄金循环经济的行业政策制定。将黄金回收精炼企业-翠绿黄金精炼列入“培土倍增”企业库，建立区-部门-街道专项服务小组，做好产业链配套，强化一企一策服务。积极参与上海黄金交易所标准金锭相关标准制定，夯实黄金循环经济产业基础。</w:t>
      </w:r>
    </w:p>
    <w:p w14:paraId="3E69CA6E">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三、关于“搭建数字化平台，提升交易安全与效率”的建议</w:t>
      </w:r>
    </w:p>
    <w:p w14:paraId="3224ACB6">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一是盐田区挂牌成立“盐田区黄金珠宝数智化转型促进中心”，推动黄金珠宝产业与华为云及相关生态链伙伴深度合作，通过技术底座构建、生态链协同、服务创新和政策借力四大维度，引导黄金珠宝企业逐步升级改造智能工厂，打造一批高能级智慧工厂，推动黄金珠宝产业从传统制造向数智化、全球化跃迁；推动AI在黄金珠宝产业全链条应用，支持周大福与商汤科技打造黄金珠宝AI垂直大模型，借助AI技术的大数据分析能力，快速洞察消费者喜好、敏锐捕捉流行趋势、掌握市场动态需求；支持金雅福集团发展“黄金+科技”创新体验，推广“黄金ATM机（兑金通）”，打造“一站式”黄金珠宝自助购买、回收模式。</w:t>
      </w:r>
    </w:p>
    <w:p w14:paraId="6FFC1FF8">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二是龙岗区以“产业升级需求导向”为指南针，积极引进全国珠宝供应链领域的头部企业港福珠宝。港福珠宝设计的“找金”平台，用人工智能赋能黄金销售和管理模式，创新“以图找款”功能、自动下单采购系统和智能仓位分配技术，甚至通过ChatGPT和DeepSeek构建精细化客户画像，为传统珠宝行业注入了“智慧大脑”，实现从原材料采购到终端销售的全链条覆盖。</w:t>
      </w:r>
    </w:p>
    <w:p w14:paraId="1ABEEAE5">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三是罗湖区正在推动开展黄金回购登记服务试点建设。由回购主体、银行和上金所负责具体实施，采用事前、事中、事后多种登记方式，以实时登记为主，通过记录黄金回购的参与主体信息、交易信息、资金信息，保障回购黄金的来源清晰、交易链路完整可追溯，构建数据完整准确、不可篡改的黄金回购登记体系，锚定黄金流转市场准入标准。同时，推动税务部门以登记体系实时交易数据为计税依据，以内部凭证作为企业所得税税前扣除凭证，降低合规企业经营回购业务的税务风险。</w:t>
      </w:r>
    </w:p>
    <w:p w14:paraId="2ED07B0D">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四、关于“创新驱动发展，优化产业服务供给”的建议</w:t>
      </w:r>
    </w:p>
    <w:p w14:paraId="685C18E0">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一是近期，在华为中国合作伙伴大会上，罗湖区与华为签署合作协议，共建黄金珠宝产业数智化赋能中心，面向黄金珠宝设计、批发、零售等关键环节，开展应用赋能、联合创新、技术培训、论坛峰会、成果展示等赋能服务，为辖区企业提供有针对性的数字化转型诊断和解决方案，助力打造珠宝产业数字化转型样板，推动罗湖区黄金珠宝产业向品牌化、数智化方向发展。同时，推动TTF AI珠宝设计大展在罗湖举行，打造黄金珠宝人工智能设计示范项目。</w:t>
      </w:r>
    </w:p>
    <w:p w14:paraId="1ED4AC4E">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二是龙岗区在黄金珠宝企业集中的李朗国际珠宝产业园、宝福珠宝园、联创科技园等园区设立了服务专班，提供零距离服务。推动港福珠宝的供应链管理能力与李朗珠宝园的生产加工优势形成互补，如同为龙岗珠宝产业装上“智慧中枢”。同时，依托港福珠宝，推动达成合作的5家上下游企业尽快落户,并带动更多珠宝领域优质企业,如珠宝设计、生产、检测、供应链等企业加速集聚、落户龙岗。</w:t>
      </w:r>
    </w:p>
    <w:p w14:paraId="7D40F71F">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五、关于“发展智慧零售，激活存量促进增量”的建议</w:t>
      </w:r>
    </w:p>
    <w:p w14:paraId="5368BEF1">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一是市商务局积极鼓励珠宝行业通过举办多种多样的文化消费活动，丰富消费场景，吸引更多消费者参与。一是结合“新型消费季”“深圳购物季”等促消费活动，组织周大福、金雅福等知名珠宝企业开展“世界黄金珠宝时尚潮流发布会”“国际珠宝展”“买金就买周大福”等产品发布、展销、促销活动。二是通过加大宣传力度，采用线上线下相结合的方式，全方位展示珠宝产品的独特魅力，提升消费者的体验感和参与感，从而增加客流量和品牌曝光度，进一步挖掘潜在客户，提升转化率。三是支持淘宝直播在罗湖水贝珠宝城举办“深圳珠宝产业带‘卖空行动’”，组织小红书、淘宝、快手、得物等电商平台开展黄金珠宝、家具、服饰等系列产业带招商活动；大力支持金雅福“智慧金生价值共生”黄金珠宝智慧零售业务的发展，积极推动金雅福24小时智慧金店进驻深圳万象城、领展中心、卓悦中心等重点商圈。通过引入先进的科技手段，如人工智能、大数据、物联网等，为消费者提供更加便捷、高效、个性化的购物体验，进一步提升消费者对深圳珠宝品牌的认可度和忠诚度。</w:t>
      </w:r>
    </w:p>
    <w:p w14:paraId="1C3429F0">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二是盐田区加快促进现代时尚产业迈向全球价值链高端，推动黄金珠宝产业产供销、内外贸、上下游、一体化高质量发展，全面提升盐田黄金珠宝产业综合竞争力，助力盐田加快构建“5+3+1”现代产业体系。联合深圳市版权协会设立“盐田区黄金珠宝版权保护工作站”，开展版权保护知识培训，提升企业版权保护意识，助力企业品牌发展；支持黄金珠宝加工企业绿色发展，指导百泰集团积极创建绿色工厂；持续推动黄金珠宝企业举办珠宝展、新零售推广等系列促消费活动，把握“兑金通”市场推广契机，加大布局发展黄金珠宝即时零售，加快推进电商产业高质量发展，依托兑金通平台，强化平台对上下游产业的双向带动和统筹整合能力，将盐田制造的特色产品与电商平台结合，推广“黄金回收+即时消费”模式，完善回收服务体系，构建社区商业网点布局，助力实体经济发展。</w:t>
      </w:r>
    </w:p>
    <w:p w14:paraId="44B8C76B">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三是龙岗区全力支持珠宝行业发展智慧零售，鼓励企业利用AI技术、智能设备，实现黄金检测、回收、销售一体化，拓展全新应用场景。2024年，龙岗区为重点黄金企业金雅福自主研发的贵金属智慧终端、自助黄金回收机等新技术提供空间及应用场景支持，在龙岗万科广场选址落地龙岗首家全智能无人智慧金店，弥补了全区黄金智慧售卖的空白。智慧零售为消费者提供购买和回收实物黄金的快速便捷消费场景，助力企业拓展新业态，推动黄金销售行业智能化、绿色化发展。</w:t>
      </w:r>
    </w:p>
    <w:p w14:paraId="4771C161">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四是罗湖区前期已推动国润黄金推出全国首台自助黄金回收机，用户完成了实名认证后，将要出售的黄金放入机器窗口，在签署交易协议后，机器就自动开展黄金检测程序，最终根据黄金检测结果和上海黄金交易所的实时金价确定交易金额，确定出售后，金额远程打入用户绑定的银行卡，整个过程耗时不到15分钟。接下来罗湖区也将针对黄金回购中的各项堵点难点进行深入分析、逐个解决，推动黄金回购市场规范化发展。</w:t>
      </w:r>
    </w:p>
    <w:p w14:paraId="27135A5F">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再次感谢您对黄金珠宝产业发展的关心与支持！</w:t>
      </w:r>
    </w:p>
    <w:p w14:paraId="387DF5CB">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专此答复。</w:t>
      </w:r>
    </w:p>
    <w:p w14:paraId="28876C51">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righ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深圳市工业和</w:t>
      </w:r>
      <w:bookmarkStart w:id="0" w:name="_GoBack"/>
      <w:r>
        <w:rPr>
          <w:rFonts w:hint="eastAsia" w:ascii="仿宋_GB2312" w:hAnsi="仿宋_GB2312" w:eastAsia="仿宋_GB2312" w:cs="仿宋_GB2312"/>
          <w:sz w:val="32"/>
          <w:szCs w:val="32"/>
          <w:lang w:val="en-US" w:eastAsia="zh-CN"/>
        </w:rPr>
        <w:t>信息化局</w:t>
      </w:r>
    </w:p>
    <w:p w14:paraId="720F44A6">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righ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2025年6月20日</w:t>
      </w:r>
    </w:p>
    <w:bookmarkEnd w:id="0"/>
    <w:p w14:paraId="5A8F48E0">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（联系人：徐加涛，电话：88102364、18165717106）</w:t>
      </w:r>
    </w:p>
    <w:p w14:paraId="799202E7">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公开方式：主动公开</w:t>
      </w:r>
    </w:p>
    <w:p w14:paraId="5277A221">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抄送：市人大常委会代表工委、市政府督查室</w:t>
      </w:r>
    </w:p>
    <w:p w14:paraId="2E00F0BB">
      <w:pPr>
        <w:jc w:val="center"/>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w:t>
      </w:r>
    </w:p>
    <w:p w14:paraId="7BED1A81">
      <w:pPr>
        <w:rPr>
          <w:sz w:val="36"/>
          <w:szCs w:val="36"/>
        </w:rPr>
      </w:pPr>
    </w:p>
    <w:p w14:paraId="1322AEA4">
      <w:pPr>
        <w:rPr>
          <w:sz w:val="40"/>
          <w:szCs w:val="40"/>
        </w:rPr>
      </w:pPr>
    </w:p>
    <w:p w14:paraId="740EFD7A">
      <w:r>
        <w:rPr>
          <w:rFonts w:ascii="黑体" w:hAnsi="黑体" w:eastAsia="黑体" w:cs="黑体"/>
          <w:sz w:val="28"/>
          <w:szCs w:val="28"/>
          <w:lang w:val="zh-CN"/>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A26917"/>
    <w:rsid w:val="03FA7913"/>
    <w:rsid w:val="08AD0527"/>
    <w:rsid w:val="0CA81750"/>
    <w:rsid w:val="104457BF"/>
    <w:rsid w:val="142D5EF2"/>
    <w:rsid w:val="1A8370F8"/>
    <w:rsid w:val="1C52129C"/>
    <w:rsid w:val="1D7E45BC"/>
    <w:rsid w:val="1E4C6E49"/>
    <w:rsid w:val="1F7774AB"/>
    <w:rsid w:val="23B47B07"/>
    <w:rsid w:val="28F64EC4"/>
    <w:rsid w:val="2A5B2BC4"/>
    <w:rsid w:val="2AC820BB"/>
    <w:rsid w:val="2DAC5DFC"/>
    <w:rsid w:val="353A69D5"/>
    <w:rsid w:val="35507787"/>
    <w:rsid w:val="36ED4BEC"/>
    <w:rsid w:val="3A1A2BE3"/>
    <w:rsid w:val="4246255A"/>
    <w:rsid w:val="49FA03AF"/>
    <w:rsid w:val="4F955F9D"/>
    <w:rsid w:val="526966EA"/>
    <w:rsid w:val="53F4753B"/>
    <w:rsid w:val="56D80994"/>
    <w:rsid w:val="574C0B47"/>
    <w:rsid w:val="581F309E"/>
    <w:rsid w:val="5F693127"/>
    <w:rsid w:val="66135703"/>
    <w:rsid w:val="6C5816D0"/>
    <w:rsid w:val="6E9C1746"/>
    <w:rsid w:val="70F449E4"/>
    <w:rsid w:val="713C1E52"/>
    <w:rsid w:val="731474DA"/>
    <w:rsid w:val="732C1598"/>
    <w:rsid w:val="73735F79"/>
    <w:rsid w:val="79DA1477"/>
    <w:rsid w:val="7A075E2D"/>
    <w:rsid w:val="7E2F2A5C"/>
    <w:rsid w:val="7F9F389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14</Pages>
  <Words>6452</Words>
  <Characters>6631</Characters>
  <Lines>0</Lines>
  <Paragraphs>0</Paragraphs>
  <TotalTime>5</TotalTime>
  <ScaleCrop>false</ScaleCrop>
  <LinksUpToDate>false</LinksUpToDate>
  <CharactersWithSpaces>6835</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limjeon</dc:creator>
  <cp:lastModifiedBy>lulu最爱重口味</cp:lastModifiedBy>
  <dcterms:modified xsi:type="dcterms:W3CDTF">2025-10-23T08:18:41Z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541166959B6841688F680FB6A261768C</vt:lpwstr>
  </property>
  <property fmtid="{D5CDD505-2E9C-101B-9397-08002B2CF9AE}" pid="4" name="KSOTemplateDocerSaveRecord">
    <vt:lpwstr>eyJoZGlkIjoiZjg5NzkwMWRjZjBiNzk5YzVmYWFlYWYzZTQ2OTE0Y2YiLCJ1c2VySWQiOiIzMzExNTQxOTkifQ==</vt:lpwstr>
  </property>
</Properties>
</file>