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9330C7">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6DB655AA">
      <w:pPr>
        <w:spacing w:line="240" w:lineRule="auto"/>
        <w:rPr>
          <w:rFonts w:hint="eastAsia" w:ascii="仿宋_GB2312" w:hAnsi="仿宋_GB2312" w:eastAsia="仿宋_GB2312" w:cs="仿宋_GB2312"/>
          <w:b w:val="0"/>
          <w:sz w:val="32"/>
          <w:lang w:eastAsia="zh-CN"/>
        </w:rPr>
      </w:pPr>
    </w:p>
    <w:p w14:paraId="2B0EB387">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20250541</w:t>
      </w:r>
      <w:r>
        <w:rPr>
          <w:rFonts w:hint="eastAsia" w:ascii="仿宋_GB2312" w:hAnsi="仿宋_GB2312" w:eastAsia="仿宋_GB2312" w:cs="仿宋_GB2312"/>
          <w:b w:val="0"/>
          <w:sz w:val="32"/>
          <w:lang w:eastAsia="zh-CN"/>
        </w:rPr>
        <w:t>号</w:t>
      </w:r>
    </w:p>
    <w:p w14:paraId="1D6202B6">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关于推动人工智能产业规范化发展及保障基层就业的建议</w:t>
      </w:r>
    </w:p>
    <w:p w14:paraId="3EA5640B">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杨凯越,李双双,李粉莉,郑华玉,黄勇峰(共5名)</w:t>
      </w:r>
    </w:p>
    <w:p w14:paraId="7A325947">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14:paraId="4F993739">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市工业和信息化局,市人力资源和社会保障局,市市场监督管理局</w:t>
      </w:r>
    </w:p>
    <w:p w14:paraId="270C00B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2D0F729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一、背景</w:t>
      </w:r>
    </w:p>
    <w:p w14:paraId="1CD9DD5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当前，人工智能技术正以惊人的速度重塑全球产业格局。深圳作为国家科技创新的核心引擎，在这场科技变革中迎来了产业升级的历史性机遇，同时也面临着诸多挑战，比如技术应用缺乏规范、就业结构转型困难等问题。根据深圳市人工智能行业协会的数据，2023年我市AI核心产业规模成功突破1800亿元，成绩斐然。然而，中小企业的技术应用率却不足30%，从业者的技能适配度缺口更是高达45%。这表明我们在推动人工智能广泛应用和人才培养方面，还有很长的路要走。为了实现人工智能的健康发展，建议从“规范技术应用、保障民生就业、构建产业生态”三个关键方面协同推进。</w:t>
      </w:r>
    </w:p>
    <w:p w14:paraId="635FDE8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14:paraId="729FE52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标准化建设滞后。深圳拥有超过2000家人工智能企业，数量众多，但在AI数据标注质量、算法可解释性等关键领域，缺乏统一的标准。这就导致市场上的产品同质化现象严重，例如在智能客服领域，重复建设率竟然达到了60%。企业之间为了争夺市场，往往陷入低水平的价格竞争，而不是通过技术创新来提升产品和服务质量。这种情况不仅浪费了大量的人力、物力和财力，也严重制约了人工智能技术向实际生产力的转化。小型AI企业，他们花费大量资源研发的智能客服产品，由于缺乏统一标准，在市场上难以与其他类似产品区分开来，导致销售业绩不佳，最终影响了企业的生存和发展。</w:t>
      </w:r>
    </w:p>
    <w:p w14:paraId="655B908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就业结构性矛盾凸显。随着制造业智能化改造的推进，传统岗位正逐年减少，年均缩减幅度达到8%。许多工人面临着失业的风险，他们的工作被自动化设备和智能机器人所取代。与此同时，AI训练师、数据标注师等新型岗位却出现了“招工难”的现象，2023年这些岗位的空缺率高达35%。这主要是因为现有的技能培训体系与市场需求严重脱节，学校培养出来的人才无法满足企业对新型岗位的技能要求。例如，一些职业院校仍然侧重于传统制造业技能的培训，对人工智能相关的新兴技能培训不足，导致学生毕业后难以找到合适的工作。</w:t>
      </w:r>
    </w:p>
    <w:p w14:paraId="1085C81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中小企业转型困境。本地的RFID等物联网企业，AI渗透率不足15%，转型面临重重困难。首先，算力成本居高不下，企业年均算力支出占研发投入的40%，这对于资金相对薄弱的中小企业来说，是一笔巨大的开支。其次，复合型人才匮乏，既懂物联网技术又懂人工智能的人才稀缺，企业难以组建起专业的技术团队。这些瓶颈限制了中小企业在人工智能领域的发展，使它们在市场竞争中处于劣势。专注于RFID技术的中小企业，想要引入人工智能技术提升产品竞争力，但由于算力成本过高和缺乏专业人才，项目进展缓慢，错失了市场机会，影响企业生存与发展。</w:t>
      </w:r>
    </w:p>
    <w:p w14:paraId="7DFE3F2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w:t>
      </w:r>
    </w:p>
    <w:p w14:paraId="0F81F80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（一）构建深圳特色AI标准体系</w:t>
      </w:r>
    </w:p>
    <w:p w14:paraId="46A30E1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设立联合实验室：成立“AI标准联合实验室”，汇聚各方专业力量，针对当前行业亟需的标准进行重点研究。比如，在智能硬件接口标准方面，研究如何实现 RFID+AI融合设备的统一接口规范，使不同厂家生产的设备能够互联互通；在工业视觉检测精度分级方面，制定明确的分级标准，确保工业视觉检测的准确性和可靠性。</w:t>
      </w:r>
    </w:p>
    <w:p w14:paraId="31EF163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设标准应用示范区：在宝安智能装备城、龙岗AIoT（人工智能物联网）集群开展“标准应用示范区”建设。对于达到标准的企业，给予一定比例的技改补贴，鼓励企业积极采用统一标准进行生产和研发。通过示范区的示范作用，带动整个行业的标准化发展。</w:t>
      </w:r>
    </w:p>
    <w:p w14:paraId="6455B61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（二）实施“灯塔工厂普惠计划”</w:t>
      </w:r>
    </w:p>
    <w:p w14:paraId="6E57C2B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设共享服务平台：遴选一定数量的行业龙头企业，建设AI共享服务平台，并向中小企业开放先进的算法模型，例如RFID智能分拣系统等，帮助中小企业降低研发成本，快速提升技术水平。对于使用共享服务平台算法模型的中小企业，按照调用量给予0.3 元/次的补贴，进一步鼓励企业使用共享资源。</w:t>
      </w:r>
    </w:p>
    <w:p w14:paraId="71A0EFB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设立特训营：在龙华、光明区设立“AI转型特训营”，针对市场需求，开发AR辅助装配、智能仓储管理等12个细分领域的实训课程。将培训补贴提高至8000元/人，吸引更多的人参加培训，提升他们在人工智能领域的技能水平，为企业输送专业人才。</w:t>
      </w:r>
    </w:p>
    <w:p w14:paraId="1C5CD10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（三）建立就业保障新机制</w:t>
      </w:r>
    </w:p>
    <w:p w14:paraId="0099286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推行评估制度：推行“AI影响评估制度”，要求企业在进行智能化改造之前，必须提交详细的岗位转换方案。方案中应明确如何安置现有员工，以及创造哪些新的就业岗位。对于按照方案保留岗位数量较多的企业，给予每月一定金额的稳岗补贴，鼓励企业积极保障员工就业。</w:t>
      </w:r>
    </w:p>
    <w:p w14:paraId="66C9BFE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设服务中心：在光明科学城建设“灵活就业服务中心”，为因人工智能发展而催生的零工经济从业者提供全方位的服务。包括接单撮合，帮助他们找到合适的工作机会；代缴意外险，保障他们在工作过程中的人身安全等。通过一站式服务，让零工经济从业者能够更加安心地工作。</w:t>
      </w:r>
    </w:p>
    <w:p w14:paraId="4AE380B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6B987EE2">
      <w:pPr>
        <w:rPr>
          <w:sz w:val="40"/>
          <w:szCs w:val="40"/>
        </w:rPr>
      </w:pPr>
    </w:p>
    <w:p w14:paraId="3BA2121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E171BC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70E055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E5FAB7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EBD9CD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4B09D1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67EDC5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1C82DA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9D1647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A24CFD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6B2078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7392D9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B4F853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48B0E9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2F146E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25F735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95F054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C31AAB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B1150D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0C54BED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市工业和信息化局关于对市七届人大六次会议第20250541号建议答复意见的函</w:t>
      </w:r>
    </w:p>
    <w:p w14:paraId="7D1C829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尊敬的杨凯越等代表：</w:t>
      </w:r>
    </w:p>
    <w:p w14:paraId="717C3E0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您在市人大七届六次会议上提出的第20250541号建议《关于推动人工智能产业规范化发展及保障基层就业的建议》收悉。非常感谢您对人工智能产业发展的关心与支持。经认真研究，现答复如下：</w:t>
      </w:r>
    </w:p>
    <w:p w14:paraId="067514E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目前，我市正积极加强人工智能产业的基础设施建设与公共服务供给，陆续印发了系列政策文件指导支持相关工作落地，多项举措降低企业成本，支持产业发展。《2025年智能终端产业发展扶持计划项目申报指南》已正式发布，其中人工智能终端公共服务平台建设项目支持第三方机构、高校、科研院所或大模型头部厂商联合上下游生态企业等搭建公共服务平台，提供端侧大模型和人工智能终端产品能力测试评估、共性技术支持、新型人工智能终端产品孵化等公共服务，对符合条件的平台按照经核定建设费用的50%予以最高不超过300万元支持。已印发的《深圳市打造人工智能先锋城市的若干措施》中提出每年发放最高1亿元“模型券”，降低人工智能模型应用成本。对企业依托经国家网信办备案的生成式人工智能模型开展模型服务、智能体开发应用等，达到一定规模、具有良好成效的，可按不超过模型购买费用的30%，给予最高200万元资助。</w:t>
      </w:r>
    </w:p>
    <w:p w14:paraId="65F3755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再次感谢您对人工智能产业发展的关心与支持！</w:t>
      </w:r>
    </w:p>
    <w:p w14:paraId="039D970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3969E7C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lang w:val="en-US" w:eastAsia="zh-CN"/>
        </w:rPr>
        <w:t xml:space="preserve">  深圳市工业和信息化局                                                                                                   2025年6月14日</w:t>
      </w:r>
    </w:p>
    <w:p w14:paraId="34A165D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（联系人：李默，电话：88102402）</w:t>
      </w:r>
    </w:p>
    <w:p w14:paraId="5FE5452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1158B999">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3E20E5F4">
      <w:pPr>
        <w:rPr>
          <w:sz w:val="36"/>
          <w:szCs w:val="36"/>
        </w:rPr>
      </w:pPr>
    </w:p>
    <w:p w14:paraId="2C72FA41">
      <w:pPr>
        <w:rPr>
          <w:sz w:val="40"/>
          <w:szCs w:val="40"/>
        </w:rPr>
      </w:pPr>
    </w:p>
    <w:p w14:paraId="25E370FD">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17451A6"/>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A846F7A"/>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2472</Words>
  <Characters>2625</Characters>
  <Lines>0</Lines>
  <Paragraphs>0</Paragraphs>
  <TotalTime>5</TotalTime>
  <ScaleCrop>false</ScaleCrop>
  <LinksUpToDate>false</LinksUpToDate>
  <CharactersWithSpaces>2844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