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90C70">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799AA611">
      <w:pPr>
        <w:spacing w:line="240" w:lineRule="auto"/>
        <w:rPr>
          <w:rFonts w:hint="eastAsia" w:ascii="仿宋_GB2312" w:hAnsi="仿宋_GB2312" w:eastAsia="仿宋_GB2312" w:cs="仿宋_GB2312"/>
          <w:b w:val="0"/>
          <w:sz w:val="32"/>
          <w:lang w:eastAsia="zh-CN"/>
        </w:rPr>
      </w:pPr>
    </w:p>
    <w:p w14:paraId="50B40E07">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20250557</w:t>
      </w:r>
      <w:r>
        <w:rPr>
          <w:rFonts w:hint="eastAsia" w:ascii="仿宋_GB2312" w:hAnsi="仿宋_GB2312" w:eastAsia="仿宋_GB2312" w:cs="仿宋_GB2312"/>
          <w:b w:val="0"/>
          <w:sz w:val="32"/>
          <w:lang w:eastAsia="zh-CN"/>
        </w:rPr>
        <w:t>号</w:t>
      </w:r>
    </w:p>
    <w:p w14:paraId="24A00BBD">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关于推动大模型赋能深圳市产业发展的建议</w:t>
      </w:r>
    </w:p>
    <w:p w14:paraId="673C49B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冯圣中,张明东,杨凯越,潘艺,苗向,郑华玉,黄勇峰(共7名)</w:t>
      </w:r>
    </w:p>
    <w:p w14:paraId="746B5FA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6493BC8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w:t>
      </w:r>
    </w:p>
    <w:p w14:paraId="29263FA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0F7B479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w:t>
      </w:r>
    </w:p>
    <w:p w14:paraId="45A7BC2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大模型技术的快速发展，特别是DeepSeek等国产大模型出现和开源，大模型已成为推动产业升级和技术创新的重要工具。然而，由于智能机器人、高端装备制造等不同行业存在较高的数据和专业壁垒，实现大模型技术在垂直领域的大规模应用还面临着许多挑战。</w:t>
      </w:r>
    </w:p>
    <w:p w14:paraId="77BE4EF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对于大中型企业来讲，在本领域部署大模型需要专门的研发团队、做大量数据标注工作，不仅增加了企业的负担而且导致大量重复工作。在对于小型企业而言，大模型部署和应用有较高的技术门槛，尽管已有立谱智造等专门为中小企业提供大模型技术服务，然而在实际应用场景中所需的计算资源十分庞大的问题。为了促进这一技术的普及和落地，需要采取一系列举措，以降低技术使用门槛，为企业减少负担，提升企业创新能力。</w:t>
      </w:r>
    </w:p>
    <w:p w14:paraId="0A0A997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14:paraId="0FBF381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高技术门槛和资源难题。大模型技术涉及复杂的算法开发、数据标注、训练和部署，需大量计算资源。尽管大型企业有算力、数据等资源，但是需要设置专门的技术团队、进行长期的数据标注和大量的模型调优尝试，不仅成本过高而且会造成大量重复劳动。而中小企业面临巨大的技术和资金压力，且算力资源获取成本高昂，普及过程中无法满足中小企业的需求。</w:t>
      </w:r>
    </w:p>
    <w:p w14:paraId="4A8DFB9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算力资源市场化程度不高。大模型应用对计算能力要求极高，小微企业难以承担高额算力费用，且市场上算力资源过于集中在大企业和技术巨头手中，导致小微企业难以公平获取资源。算力券作为创新支付工具，虽能帮助企业降低初期投入，但现有机制存在问题，企业普遍反映免费服务效果差，收费服务价格高于市场水平，且算力券的流通和管理机制尚未完善，未能释放其潜力。</w:t>
      </w:r>
    </w:p>
    <w:p w14:paraId="16EE0E7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14:paraId="72866D7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为推动大模型技术赋能产业发展，提出以下建议：</w:t>
      </w:r>
    </w:p>
    <w:p w14:paraId="2695FB7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构建大模型公共服务平台，优化大模型赋能产业技术支持体系。通过降低技术门槛，提升各类企业的创新能力，推动大模型技术的快速普及和落地。设立大模型公共服务平台，结合政府投入与市场融资，利用企业激励机制，鼓励平台提供全链条技术支持。平台应提供从算法开发、数据标注、模型训练到部署的一站式服务，为中型以上企业提供个性化的大模型定制化服务，帮助其高效实现大模型研发、部署和应用落地。这将有助于企业根据行业特点和技术需求，灵活地设计和应用大模型技术，提升生产力和创新力。为小微型企业提供免费的试用期，降低其初期的技术投入成本，并通过积累使用数据帮助平台优化服务。完善现有算力券的使用规则，将其作为通用支付工具，用于平台资源兑换。算力券可根据企业发展情况逐年发放，激励企业使用算力服务并推动技术创新。同时，允许算力券在企业之间自由流通，激发市场活力，促进资源的灵活、高效分配。</w:t>
      </w:r>
    </w:p>
    <w:p w14:paraId="55B8AD0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大力推动算力资源市场化运营。算力资源的市场化运营是推动我市数字经济发展的重要一环。我国各级政府投资数亿元到数十亿元不等，成功建立了多个超算中心，我市已经建立起多个算力中心。这些算力资源不仅仅是政府层面基础设施建设的重要成果，更应作为推动产业创新、助力科技突破的关键动力。为释放这些算力资源的市场潜力，我市应尽快将其交由市场主体自负盈亏运营。政府应出台相关政策，引导云计算、大数据和人工智能等专业企业接管算力中心，并根据市场需求合理定价，确保资源高效利用与灵活调度。同时，政府应通过税收优惠等政策，降低企业初期运营成本，激励创新和研发。此外，建设完善的算力资源流通平台，促进企业间资源共享与协同合作，实现算力资源的优化分配。为保障市场公平和健康发展，政府还需加强监管，确保市场主体依法运营，并定期评估资源使用效益与技术创新效果。通过这些措施，我市能够加快算力市场的成熟，释放算力资源潜力，推动数字经济快速发展。</w:t>
      </w:r>
    </w:p>
    <w:p w14:paraId="43E5FDA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50A27AC7">
      <w:pPr>
        <w:rPr>
          <w:sz w:val="40"/>
          <w:szCs w:val="40"/>
        </w:rPr>
      </w:pPr>
    </w:p>
    <w:p w14:paraId="44BBB98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853D4D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55C84A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9C6D35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B13718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3F0AC3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52DB76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A2221D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C672F9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51A45D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8F5869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B04A89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436967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0CEB18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DD8829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2B741E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B276FB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0E8A4DB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市工业和信息化局关于对市七届人大六次会议第20250557号建议答复意见的函</w:t>
      </w:r>
    </w:p>
    <w:p w14:paraId="2F5C7EB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尊敬的冯圣中等代表：</w:t>
      </w:r>
    </w:p>
    <w:p w14:paraId="2EF824E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您在市人大七届六次会议上提出的第20250557号建议《关于推动大模型赋能深圳市产业发展的建议》收悉。非常感谢您对人工智能产业发展的关心与支持。经认真研究，现答复如下：</w:t>
      </w:r>
    </w:p>
    <w:p w14:paraId="3BEFA3E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一、关于“构建大模型公共服务平台，优化大模型赋能产业技术支持体系”的建议</w:t>
      </w:r>
    </w:p>
    <w:p w14:paraId="3C88959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目前，我市正积极加强人工智能产业的基础设施建设与公共服务供给。陆续印发了系列政策文件指导推动相关工作落地，多举措降低企业成本，支持产业发展。2024年12月出台了《深圳市打造人工智能先锋城市的若干措施》，明确提出要建设公共技术服务平台，支持面向人工智能领域建设开放创新平台、开源社区、评测适配中心、创新中心等，配置通用模型库等产业链上下游资源并开放共享，对符合条件的新建平台，按不超过项目审定总投入的50%，给予最高2000万元资助；对符合条件的已建平台，按不超过其上一年度审定运营费用的30%，给予最高500万元资助。2025年5月28日发布《2025年智能终端产业发展扶持计划项目申报指南》，其中人工智能终端公共服务平台建设项目支持第三方机构、高校、科研院所或大模型头部厂商联合上下游生态企业等搭建公共服务平台，提供端侧大模型和人工智能终端产品能力测试评估、共性技术支持、新型人工智能终端产品孵化等公共服务，对符合条件的平台按照经核定建设费用的50%予以最高不超过300万元支持。此外，2025年3月20日出台了《深圳市加快打造人工智能先锋城市行动计划（2025-2026年）》，也强调了要打造具身智能数据采集基地，建设具身智能开源开放平台和多模态训练开源数据集，为大模型的训练与应用提供高质量的数据支持。</w:t>
      </w:r>
    </w:p>
    <w:p w14:paraId="1C5AC45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二、关于“大力推动算力资源市场化运营”的建议</w:t>
      </w:r>
    </w:p>
    <w:p w14:paraId="427BD0B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一直以来都非常重视算力基础设施的建设与优化，致力于提升算力资源的供给能力和运营效率。出台《深圳市算力基础设施高质量发展行动计划（2024-2025）》，明确提出了要强化多元算力供给配置，推进不同算力资源池、不同算力类型、不同云厂商之间的协同，整合、聚集社会多元算力以及“算力飞地”算力资源，建设覆盖超算中心、智算中心、数据中心等多元异构算力中心互联互通、高效协同的算力网络，实现公共算力汇聚，力争将我市建成粤港澳大湾区算力供给中心。同时，建立算力调度体系，构建超高可靠、极低时延、极速带宽、极高性能、绿色低碳的算力调度体系，支持建设公共算力调度与创新服务平台，实现算力的弹性分配，提供具有公信力、安全性和普惠性的算力供给服务。此外，在《深圳市打造人工智能先锋城市的若干措施》中，也明确提出了要加大普惠服务资源供给，加快推进鹏城云脑Ⅲ等先进算力基础设施建设，鼓励市内重大算力基础设施以优惠价格提供算力服务，并依托重大项目资源，以创新方式支持企业低成本使用算力、模型、语料等人工智能服务资源。同时，通过发放“训力券”，降低人工智能模型研发和训练成本，对租用智能算力开展大模型训练的企业、高等院校和科研机构，按不超过服务合同金额的50%，给予最高1000万元资助，对初创企业提高资助比例至60%。这些措施都将极大地推动算力资源的市场化运营，满足不同主体对算力资源的需求。</w:t>
      </w:r>
    </w:p>
    <w:p w14:paraId="3DDD87B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再次感谢您对人工智能产业发展的关心与支持！</w:t>
      </w:r>
    </w:p>
    <w:p w14:paraId="0AAA012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32C2199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 xml:space="preserve">    深圳市工业和信息化局</w:t>
      </w:r>
    </w:p>
    <w:p w14:paraId="5DC05C4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2025年6月18日</w:t>
      </w:r>
    </w:p>
    <w:bookmarkEnd w:id="0"/>
    <w:p w14:paraId="3A2CC99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（联系人：李默，电话：88102402）</w:t>
      </w:r>
    </w:p>
    <w:p w14:paraId="5923167A">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04E4AAC0">
      <w:pPr>
        <w:rPr>
          <w:sz w:val="36"/>
          <w:szCs w:val="36"/>
        </w:rPr>
      </w:pPr>
    </w:p>
    <w:p w14:paraId="232B4573">
      <w:pPr>
        <w:rPr>
          <w:sz w:val="40"/>
          <w:szCs w:val="40"/>
        </w:rPr>
      </w:pPr>
    </w:p>
    <w:p w14:paraId="7E8001A3">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3EFC08BA"/>
    <w:rsid w:val="49FA03AF"/>
    <w:rsid w:val="4EB70C79"/>
    <w:rsid w:val="4F955F9D"/>
    <w:rsid w:val="526966EA"/>
    <w:rsid w:val="56D80994"/>
    <w:rsid w:val="574C0B47"/>
    <w:rsid w:val="581F309E"/>
    <w:rsid w:val="5F693127"/>
    <w:rsid w:val="65685D4E"/>
    <w:rsid w:val="66135703"/>
    <w:rsid w:val="6C5816D0"/>
    <w:rsid w:val="6E123BB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2891</Words>
  <Characters>3032</Characters>
  <Lines>0</Lines>
  <Paragraphs>0</Paragraphs>
  <TotalTime>5</TotalTime>
  <ScaleCrop>false</ScaleCrop>
  <LinksUpToDate>false</LinksUpToDate>
  <CharactersWithSpaces>3129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