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68AA2">
      <w:pPr>
        <w:widowControl/>
        <w:spacing w:line="560" w:lineRule="exact"/>
        <w:jc w:val="both"/>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附件</w:t>
      </w:r>
    </w:p>
    <w:p w14:paraId="4C3907FF">
      <w:pPr>
        <w:widowControl/>
        <w:spacing w:line="560" w:lineRule="exact"/>
        <w:jc w:val="center"/>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社会公众意见采纳情况表</w:t>
      </w:r>
    </w:p>
    <w:tbl>
      <w:tblPr>
        <w:tblStyle w:val="6"/>
        <w:tblW w:w="14226"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876"/>
        <w:gridCol w:w="1849"/>
        <w:gridCol w:w="6902"/>
        <w:gridCol w:w="1400"/>
        <w:gridCol w:w="3199"/>
      </w:tblGrid>
      <w:tr w14:paraId="7863AE4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58" w:hRule="atLeast"/>
          <w:tblHeader/>
          <w:jc w:val="center"/>
        </w:trPr>
        <w:tc>
          <w:tcPr>
            <w:tcW w:w="876" w:type="dxa"/>
            <w:tcBorders>
              <w:top w:val="single" w:color="000000" w:sz="6" w:space="0"/>
              <w:left w:val="single" w:color="000000" w:sz="6" w:space="0"/>
              <w:bottom w:val="single" w:color="000000" w:themeColor="text1" w:sz="6" w:space="0"/>
              <w:right w:val="single" w:color="000000" w:themeColor="text1" w:sz="6" w:space="0"/>
            </w:tcBorders>
            <w:noWrap w:val="0"/>
            <w:tcMar>
              <w:top w:w="75" w:type="dxa"/>
              <w:left w:w="150" w:type="dxa"/>
              <w:bottom w:w="75" w:type="dxa"/>
              <w:right w:w="150" w:type="dxa"/>
            </w:tcMar>
            <w:vAlign w:val="center"/>
          </w:tcPr>
          <w:p w14:paraId="7496214D">
            <w:pPr>
              <w:widowControl/>
              <w:spacing w:line="30" w:lineRule="atLeast"/>
              <w:jc w:val="center"/>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b/>
                <w:kern w:val="0"/>
                <w:sz w:val="24"/>
                <w:szCs w:val="24"/>
                <w:highlight w:val="none"/>
                <w:lang w:bidi="ar"/>
              </w:rPr>
              <w:t>序号</w:t>
            </w:r>
          </w:p>
        </w:tc>
        <w:tc>
          <w:tcPr>
            <w:tcW w:w="1849" w:type="dxa"/>
            <w:tcBorders>
              <w:top w:val="single" w:color="000000" w:sz="6" w:space="0"/>
              <w:left w:val="single" w:color="000000" w:themeColor="text1" w:sz="6" w:space="0"/>
              <w:bottom w:val="single" w:color="000000" w:themeColor="text1" w:sz="6" w:space="0"/>
              <w:right w:val="single" w:color="000000" w:themeColor="text1" w:sz="6" w:space="0"/>
            </w:tcBorders>
            <w:noWrap w:val="0"/>
            <w:tcMar>
              <w:top w:w="75" w:type="dxa"/>
              <w:left w:w="150" w:type="dxa"/>
              <w:bottom w:w="75" w:type="dxa"/>
              <w:right w:w="150" w:type="dxa"/>
            </w:tcMar>
            <w:vAlign w:val="center"/>
          </w:tcPr>
          <w:p w14:paraId="45BE377B">
            <w:pPr>
              <w:widowControl/>
              <w:wordWrap w:val="0"/>
              <w:spacing w:line="30" w:lineRule="atLeast"/>
              <w:jc w:val="center"/>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b/>
                <w:kern w:val="0"/>
                <w:highlight w:val="none"/>
                <w:lang w:bidi="ar"/>
              </w:rPr>
              <w:t>意见单位</w:t>
            </w:r>
          </w:p>
        </w:tc>
        <w:tc>
          <w:tcPr>
            <w:tcW w:w="6902" w:type="dxa"/>
            <w:tcBorders>
              <w:top w:val="single" w:color="000000" w:sz="6" w:space="0"/>
              <w:left w:val="single" w:color="000000" w:themeColor="text1" w:sz="6" w:space="0"/>
              <w:bottom w:val="single" w:color="000000" w:themeColor="text1" w:sz="6" w:space="0"/>
              <w:right w:val="single" w:color="000000" w:themeColor="text1" w:sz="6" w:space="0"/>
            </w:tcBorders>
            <w:noWrap w:val="0"/>
            <w:tcMar>
              <w:top w:w="75" w:type="dxa"/>
              <w:left w:w="150" w:type="dxa"/>
              <w:bottom w:w="75" w:type="dxa"/>
              <w:right w:w="150" w:type="dxa"/>
            </w:tcMar>
            <w:vAlign w:val="center"/>
          </w:tcPr>
          <w:p w14:paraId="1638C25C">
            <w:pPr>
              <w:widowControl/>
              <w:wordWrap w:val="0"/>
              <w:spacing w:line="30" w:lineRule="atLeast"/>
              <w:jc w:val="center"/>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b/>
                <w:kern w:val="0"/>
                <w:sz w:val="24"/>
                <w:szCs w:val="24"/>
                <w:highlight w:val="none"/>
                <w:lang w:bidi="ar"/>
              </w:rPr>
              <w:t>意见建议</w:t>
            </w:r>
          </w:p>
        </w:tc>
        <w:tc>
          <w:tcPr>
            <w:tcW w:w="4599" w:type="dxa"/>
            <w:gridSpan w:val="2"/>
            <w:tcBorders>
              <w:top w:val="single" w:color="000000" w:sz="6" w:space="0"/>
              <w:left w:val="single" w:color="000000" w:themeColor="text1" w:sz="6" w:space="0"/>
              <w:bottom w:val="single" w:color="000000" w:themeColor="text1" w:sz="6" w:space="0"/>
              <w:right w:val="single" w:color="000000" w:themeColor="text1" w:sz="6" w:space="0"/>
            </w:tcBorders>
            <w:noWrap w:val="0"/>
            <w:tcMar>
              <w:top w:w="75" w:type="dxa"/>
              <w:left w:w="150" w:type="dxa"/>
              <w:bottom w:w="75" w:type="dxa"/>
              <w:right w:w="150" w:type="dxa"/>
            </w:tcMar>
            <w:vAlign w:val="center"/>
          </w:tcPr>
          <w:p w14:paraId="4D869025">
            <w:pPr>
              <w:widowControl/>
              <w:wordWrap w:val="0"/>
              <w:spacing w:line="30" w:lineRule="atLeast"/>
              <w:jc w:val="center"/>
              <w:rPr>
                <w:rFonts w:hint="eastAsia" w:ascii="仿宋_GB2312" w:hAnsi="仿宋_GB2312" w:eastAsia="仿宋_GB2312" w:cs="仿宋_GB2312"/>
                <w:kern w:val="0"/>
                <w:highlight w:val="none"/>
                <w:lang w:eastAsia="zh-CN" w:bidi="ar"/>
              </w:rPr>
            </w:pPr>
            <w:r>
              <w:rPr>
                <w:rFonts w:hint="eastAsia" w:ascii="仿宋_GB2312" w:hAnsi="仿宋_GB2312" w:eastAsia="仿宋_GB2312" w:cs="仿宋_GB2312"/>
                <w:b/>
                <w:kern w:val="0"/>
                <w:highlight w:val="none"/>
                <w:lang w:bidi="ar"/>
              </w:rPr>
              <w:t>采纳情况</w:t>
            </w:r>
          </w:p>
        </w:tc>
      </w:tr>
      <w:tr w14:paraId="178E14C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58" w:hRule="atLeast"/>
          <w:jc w:val="center"/>
        </w:trPr>
        <w:tc>
          <w:tcPr>
            <w:tcW w:w="876" w:type="dxa"/>
            <w:tcBorders>
              <w:top w:val="single" w:color="000000" w:themeColor="text1" w:sz="6" w:space="0"/>
              <w:left w:val="single" w:color="000000" w:sz="6" w:space="0"/>
              <w:bottom w:val="single" w:color="000000" w:themeColor="text1" w:sz="6" w:space="0"/>
              <w:right w:val="single" w:color="000000" w:themeColor="text1" w:sz="6" w:space="0"/>
            </w:tcBorders>
            <w:noWrap w:val="0"/>
            <w:tcMar>
              <w:top w:w="75" w:type="dxa"/>
              <w:left w:w="150" w:type="dxa"/>
              <w:bottom w:w="75" w:type="dxa"/>
              <w:right w:w="150" w:type="dxa"/>
            </w:tcMar>
            <w:vAlign w:val="center"/>
          </w:tcPr>
          <w:p w14:paraId="38EF35E9">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1</w:t>
            </w:r>
          </w:p>
        </w:tc>
        <w:tc>
          <w:tcPr>
            <w:tcW w:w="1849" w:type="dxa"/>
            <w:tcBorders>
              <w:top w:val="single" w:color="000000" w:themeColor="text1" w:sz="6" w:space="0"/>
              <w:left w:val="single" w:color="000000" w:themeColor="text1" w:sz="6" w:space="0"/>
              <w:bottom w:val="single" w:color="000000" w:themeColor="text1" w:sz="6" w:space="0"/>
              <w:right w:val="single" w:color="000000" w:themeColor="text1" w:sz="6" w:space="0"/>
            </w:tcBorders>
            <w:noWrap w:val="0"/>
            <w:tcMar>
              <w:top w:w="75" w:type="dxa"/>
              <w:left w:w="150" w:type="dxa"/>
              <w:bottom w:w="75" w:type="dxa"/>
              <w:right w:w="150" w:type="dxa"/>
            </w:tcMar>
            <w:vAlign w:val="center"/>
          </w:tcPr>
          <w:p w14:paraId="1D6AA153">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kern w:val="0"/>
                <w:sz w:val="28"/>
                <w:szCs w:val="28"/>
                <w:highlight w:val="none"/>
                <w:lang w:eastAsia="zh-CN" w:bidi="ar"/>
              </w:rPr>
            </w:pPr>
            <w:r>
              <w:rPr>
                <w:rFonts w:hint="eastAsia" w:ascii="仿宋_GB2312" w:hAnsi="仿宋_GB2312" w:eastAsia="仿宋_GB2312" w:cs="仿宋_GB2312"/>
                <w:b w:val="0"/>
                <w:bCs w:val="0"/>
                <w:kern w:val="0"/>
                <w:sz w:val="24"/>
                <w:szCs w:val="24"/>
                <w:highlight w:val="none"/>
                <w:lang w:eastAsia="zh-CN" w:bidi="ar"/>
              </w:rPr>
              <w:t>Su</w:t>
            </w:r>
            <w:r>
              <w:rPr>
                <w:rFonts w:hint="eastAsia" w:ascii="仿宋_GB2312" w:hAnsi="仿宋_GB2312" w:eastAsia="仿宋_GB2312" w:cs="仿宋_GB2312"/>
                <w:b w:val="0"/>
                <w:bCs w:val="0"/>
                <w:kern w:val="0"/>
                <w:sz w:val="24"/>
                <w:szCs w:val="24"/>
                <w:highlight w:val="none"/>
                <w:lang w:val="en-US" w:eastAsia="zh-CN" w:bidi="ar"/>
              </w:rPr>
              <w:t>**</w:t>
            </w:r>
            <w:r>
              <w:rPr>
                <w:rFonts w:hint="eastAsia" w:ascii="仿宋_GB2312" w:hAnsi="仿宋_GB2312" w:eastAsia="仿宋_GB2312" w:cs="仿宋_GB2312"/>
                <w:b w:val="0"/>
                <w:bCs w:val="0"/>
                <w:kern w:val="0"/>
                <w:sz w:val="24"/>
                <w:szCs w:val="24"/>
                <w:highlight w:val="none"/>
                <w:lang w:eastAsia="zh-CN" w:bidi="ar"/>
              </w:rPr>
              <w:t>gz@qq.com</w:t>
            </w:r>
          </w:p>
        </w:tc>
        <w:tc>
          <w:tcPr>
            <w:tcW w:w="6902" w:type="dxa"/>
            <w:tcBorders>
              <w:top w:val="single" w:color="000000" w:themeColor="text1" w:sz="6" w:space="0"/>
              <w:left w:val="single" w:color="000000" w:themeColor="text1" w:sz="6" w:space="0"/>
              <w:bottom w:val="single" w:color="000000" w:themeColor="text1" w:sz="6" w:space="0"/>
              <w:right w:val="single" w:color="000000" w:themeColor="text1" w:sz="6" w:space="0"/>
            </w:tcBorders>
            <w:noWrap w:val="0"/>
            <w:tcMar>
              <w:top w:w="75" w:type="dxa"/>
              <w:left w:w="150" w:type="dxa"/>
              <w:bottom w:w="75" w:type="dxa"/>
              <w:right w:w="150" w:type="dxa"/>
            </w:tcMar>
            <w:vAlign w:val="center"/>
          </w:tcPr>
          <w:p w14:paraId="7F530AD4">
            <w:pPr>
              <w:keepNext w:val="0"/>
              <w:keepLines w:val="0"/>
              <w:pageBreakBefore w:val="0"/>
              <w:widowControl/>
              <w:kinsoku/>
              <w:wordWrap w:val="0"/>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kern w:val="0"/>
                <w:sz w:val="28"/>
                <w:szCs w:val="28"/>
                <w:highlight w:val="none"/>
                <w:lang w:eastAsia="zh-CN" w:bidi="ar"/>
              </w:rPr>
            </w:pPr>
            <w:r>
              <w:rPr>
                <w:rFonts w:hint="eastAsia" w:ascii="仿宋_GB2312" w:hAnsi="仿宋_GB2312" w:eastAsia="仿宋_GB2312" w:cs="仿宋_GB2312"/>
                <w:b w:val="0"/>
                <w:bCs w:val="0"/>
                <w:kern w:val="0"/>
                <w:sz w:val="24"/>
                <w:szCs w:val="24"/>
                <w:highlight w:val="none"/>
                <w:lang w:eastAsia="zh-CN" w:bidi="ar"/>
              </w:rPr>
              <w:t>建议第四章第十一条（四）具身智能数据采集场项目“1.项目申报单位为机器人整机企业”删除该条款或修改为“1.项目申报单位为机器人整机、模型、或数据等产业链企业”。理由：当前除了机器人整机企业在建设具身智能数据采集场，机器人产业链的其他企业也投入巨大资金建设数据采集工厂，在具身智能数据总量缺口巨大，且技术路径没有收敛的情况下，应该鼓励相关有能力的企业建设数据采集工厂。</w:t>
            </w:r>
          </w:p>
        </w:tc>
        <w:tc>
          <w:tcPr>
            <w:tcW w:w="14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noWrap w:val="0"/>
            <w:tcMar>
              <w:top w:w="75" w:type="dxa"/>
              <w:left w:w="150" w:type="dxa"/>
              <w:bottom w:w="75" w:type="dxa"/>
              <w:right w:w="150" w:type="dxa"/>
            </w:tcMar>
            <w:vAlign w:val="center"/>
          </w:tcPr>
          <w:p w14:paraId="50CDA532">
            <w:pPr>
              <w:keepNext w:val="0"/>
              <w:keepLines w:val="0"/>
              <w:pageBreakBefore w:val="0"/>
              <w:widowControl/>
              <w:kinsoku/>
              <w:wordWrap w:val="0"/>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部分采纳</w:t>
            </w:r>
          </w:p>
        </w:tc>
        <w:tc>
          <w:tcPr>
            <w:tcW w:w="319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noWrap w:val="0"/>
            <w:tcMar>
              <w:top w:w="75" w:type="dxa"/>
              <w:left w:w="150" w:type="dxa"/>
              <w:bottom w:w="75" w:type="dxa"/>
              <w:right w:w="150" w:type="dxa"/>
            </w:tcMar>
            <w:vAlign w:val="center"/>
          </w:tcPr>
          <w:p w14:paraId="77646368">
            <w:pPr>
              <w:keepNext w:val="0"/>
              <w:keepLines w:val="0"/>
              <w:pageBreakBefore w:val="0"/>
              <w:widowControl/>
              <w:kinsoku/>
              <w:wordWrap w:val="0"/>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kern w:val="0"/>
                <w:sz w:val="21"/>
                <w:szCs w:val="22"/>
                <w:highlight w:val="none"/>
                <w:lang w:val="en-US" w:eastAsia="zh-CN" w:bidi="ar"/>
              </w:rPr>
            </w:pPr>
            <w:r>
              <w:rPr>
                <w:rFonts w:hint="eastAsia" w:ascii="仿宋_GB2312" w:hAnsi="仿宋_GB2312" w:eastAsia="仿宋_GB2312" w:cs="仿宋_GB2312"/>
                <w:kern w:val="0"/>
                <w:sz w:val="24"/>
                <w:szCs w:val="24"/>
                <w:highlight w:val="none"/>
                <w:lang w:val="en-US" w:eastAsia="zh-CN" w:bidi="ar"/>
              </w:rPr>
              <w:t>申报条件修改为“1.项目申报单位为工业企业，国民经济行业分类代码在0610-4690之间，且属于具身智能机器人产业链企业”。技改政策支持的对象首先为工业企业，若是属于工业企业的具身智能机器人产业链企业开展具身智能数据采集工作可以申报该项目。</w:t>
            </w:r>
          </w:p>
        </w:tc>
      </w:tr>
      <w:tr w14:paraId="0690F29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673" w:hRule="atLeast"/>
          <w:jc w:val="center"/>
        </w:trPr>
        <w:tc>
          <w:tcPr>
            <w:tcW w:w="876" w:type="dxa"/>
            <w:tcBorders>
              <w:top w:val="single" w:color="000000" w:themeColor="text1" w:sz="6" w:space="0"/>
              <w:left w:val="single" w:color="000000" w:sz="6" w:space="0"/>
              <w:bottom w:val="single" w:color="000000" w:themeColor="text1" w:sz="6" w:space="0"/>
              <w:right w:val="single" w:color="000000" w:themeColor="text1" w:sz="6" w:space="0"/>
            </w:tcBorders>
            <w:noWrap w:val="0"/>
            <w:tcMar>
              <w:top w:w="75" w:type="dxa"/>
              <w:left w:w="150" w:type="dxa"/>
              <w:bottom w:w="75" w:type="dxa"/>
              <w:right w:w="150" w:type="dxa"/>
            </w:tcMar>
            <w:vAlign w:val="center"/>
          </w:tcPr>
          <w:p w14:paraId="1C80195B">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2</w:t>
            </w:r>
          </w:p>
        </w:tc>
        <w:tc>
          <w:tcPr>
            <w:tcW w:w="1849" w:type="dxa"/>
            <w:tcBorders>
              <w:top w:val="single" w:color="000000" w:themeColor="text1" w:sz="6" w:space="0"/>
              <w:left w:val="single" w:color="000000" w:themeColor="text1" w:sz="6" w:space="0"/>
              <w:bottom w:val="single" w:color="000000" w:themeColor="text1" w:sz="6" w:space="0"/>
              <w:right w:val="single" w:color="000000" w:themeColor="text1" w:sz="6" w:space="0"/>
            </w:tcBorders>
            <w:noWrap w:val="0"/>
            <w:tcMar>
              <w:top w:w="75" w:type="dxa"/>
              <w:left w:w="150" w:type="dxa"/>
              <w:bottom w:w="75" w:type="dxa"/>
              <w:right w:w="150" w:type="dxa"/>
            </w:tcMar>
            <w:vAlign w:val="center"/>
          </w:tcPr>
          <w:p w14:paraId="0E461142">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0"/>
                <w:sz w:val="24"/>
                <w:szCs w:val="24"/>
                <w:highlight w:val="none"/>
                <w:lang w:val="en-US" w:eastAsia="zh-CN" w:bidi="ar"/>
              </w:rPr>
            </w:pPr>
            <w:r>
              <w:rPr>
                <w:rFonts w:hint="eastAsia" w:ascii="仿宋_GB2312" w:hAnsi="仿宋_GB2312" w:eastAsia="仿宋_GB2312" w:cs="仿宋_GB2312"/>
                <w:b w:val="0"/>
                <w:bCs w:val="0"/>
                <w:kern w:val="0"/>
                <w:sz w:val="24"/>
                <w:szCs w:val="24"/>
                <w:highlight w:val="none"/>
                <w:lang w:bidi="ar"/>
              </w:rPr>
              <w:t>37</w:t>
            </w:r>
            <w:r>
              <w:rPr>
                <w:rFonts w:hint="eastAsia" w:ascii="仿宋_GB2312" w:hAnsi="仿宋_GB2312" w:eastAsia="仿宋_GB2312" w:cs="仿宋_GB2312"/>
                <w:b w:val="0"/>
                <w:bCs w:val="0"/>
                <w:kern w:val="0"/>
                <w:sz w:val="24"/>
                <w:szCs w:val="24"/>
                <w:highlight w:val="none"/>
                <w:lang w:val="en-US" w:eastAsia="zh-CN" w:bidi="ar"/>
              </w:rPr>
              <w:t>**</w:t>
            </w:r>
            <w:r>
              <w:rPr>
                <w:rFonts w:hint="eastAsia" w:ascii="仿宋_GB2312" w:hAnsi="仿宋_GB2312" w:eastAsia="仿宋_GB2312" w:cs="仿宋_GB2312"/>
                <w:b w:val="0"/>
                <w:bCs w:val="0"/>
                <w:kern w:val="0"/>
                <w:sz w:val="24"/>
                <w:szCs w:val="24"/>
                <w:highlight w:val="none"/>
                <w:lang w:bidi="ar"/>
              </w:rPr>
              <w:t>68@qq.com</w:t>
            </w:r>
          </w:p>
        </w:tc>
        <w:tc>
          <w:tcPr>
            <w:tcW w:w="6902" w:type="dxa"/>
            <w:tcBorders>
              <w:top w:val="single" w:color="000000" w:themeColor="text1" w:sz="6" w:space="0"/>
              <w:left w:val="single" w:color="000000" w:themeColor="text1" w:sz="6" w:space="0"/>
              <w:bottom w:val="single" w:color="000000" w:sz="6" w:space="0"/>
              <w:right w:val="single" w:color="000000" w:themeColor="text1" w:sz="6" w:space="0"/>
            </w:tcBorders>
            <w:noWrap w:val="0"/>
            <w:tcMar>
              <w:top w:w="75" w:type="dxa"/>
              <w:left w:w="150" w:type="dxa"/>
              <w:bottom w:w="75" w:type="dxa"/>
              <w:right w:w="150" w:type="dxa"/>
            </w:tcMar>
            <w:vAlign w:val="center"/>
          </w:tcPr>
          <w:p w14:paraId="2A528087">
            <w:pPr>
              <w:keepNext w:val="0"/>
              <w:keepLines w:val="0"/>
              <w:pageBreakBefore w:val="0"/>
              <w:widowControl/>
              <w:kinsoku/>
              <w:wordWrap w:val="0"/>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kern w:val="0"/>
                <w:sz w:val="24"/>
                <w:szCs w:val="24"/>
                <w:highlight w:val="none"/>
                <w:lang w:val="en-US" w:eastAsia="zh-CN" w:bidi="ar"/>
              </w:rPr>
            </w:pPr>
            <w:r>
              <w:rPr>
                <w:rFonts w:hint="eastAsia" w:ascii="仿宋_GB2312" w:hAnsi="仿宋_GB2312" w:eastAsia="仿宋_GB2312" w:cs="仿宋_GB2312"/>
                <w:b w:val="0"/>
                <w:bCs w:val="0"/>
                <w:kern w:val="0"/>
                <w:sz w:val="24"/>
                <w:szCs w:val="24"/>
                <w:highlight w:val="none"/>
                <w:lang w:val="en-US" w:eastAsia="zh-CN" w:bidi="ar"/>
              </w:rPr>
              <w:t>第四章申报条件，第十一条专项申报条件中：拓展机器人生产规模和应用场景项目要求“拓展机器人生产规模项目应为电机、减速器、传感器、芯片、灵巧手等机器人核心零部件企业以及机器人本体企业；”该条件建议放宽行业门类限制，以企业实际经营资质为准，</w:t>
            </w:r>
            <w:r>
              <w:rPr>
                <w:rFonts w:hint="eastAsia" w:ascii="仿宋_GB2312" w:hAnsi="仿宋_GB2312" w:eastAsia="仿宋_GB2312" w:cs="仿宋_GB2312"/>
                <w:b/>
                <w:bCs/>
                <w:kern w:val="0"/>
                <w:sz w:val="24"/>
                <w:szCs w:val="24"/>
                <w:highlight w:val="none"/>
                <w:lang w:val="en-US" w:eastAsia="zh-CN" w:bidi="ar"/>
              </w:rPr>
              <w:t>具体可修改为</w:t>
            </w:r>
            <w:r>
              <w:rPr>
                <w:rFonts w:hint="eastAsia" w:ascii="仿宋_GB2312" w:hAnsi="仿宋_GB2312" w:eastAsia="仿宋_GB2312" w:cs="仿宋_GB2312"/>
                <w:b w:val="0"/>
                <w:bCs w:val="0"/>
                <w:kern w:val="0"/>
                <w:sz w:val="24"/>
                <w:szCs w:val="24"/>
                <w:highlight w:val="none"/>
                <w:lang w:val="en-US" w:eastAsia="zh-CN" w:bidi="ar"/>
              </w:rPr>
              <w:t>：“凡依法注册登记的企业，经营范围包括电机、减速器、传感器、芯片、灵巧手等机器人核心零部件以及机器人本体的研发、生产、制造、销售等相关内容，且具备实际生产或研发能力，即符合项目支持方向。”</w:t>
            </w:r>
          </w:p>
          <w:p w14:paraId="395DCA0B">
            <w:pPr>
              <w:keepNext w:val="0"/>
              <w:keepLines w:val="0"/>
              <w:pageBreakBefore w:val="0"/>
              <w:widowControl/>
              <w:kinsoku/>
              <w:wordWrap w:val="0"/>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kern w:val="0"/>
                <w:sz w:val="24"/>
                <w:szCs w:val="24"/>
                <w:highlight w:val="none"/>
                <w:lang w:val="en-US" w:eastAsia="zh-CN" w:bidi="ar"/>
              </w:rPr>
            </w:pPr>
            <w:r>
              <w:rPr>
                <w:rFonts w:hint="eastAsia" w:ascii="仿宋_GB2312" w:hAnsi="仿宋_GB2312" w:eastAsia="仿宋_GB2312" w:cs="仿宋_GB2312"/>
                <w:b w:val="0"/>
                <w:bCs w:val="0"/>
                <w:kern w:val="0"/>
                <w:sz w:val="24"/>
                <w:szCs w:val="24"/>
                <w:highlight w:val="none"/>
                <w:lang w:val="en-US" w:eastAsia="zh-CN" w:bidi="ar"/>
              </w:rPr>
              <w:t>具体理由与支撑依据：</w:t>
            </w:r>
          </w:p>
          <w:p w14:paraId="10CBE7D5">
            <w:pPr>
              <w:keepNext w:val="0"/>
              <w:keepLines w:val="0"/>
              <w:pageBreakBefore w:val="0"/>
              <w:widowControl/>
              <w:kinsoku/>
              <w:wordWrap w:val="0"/>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kern w:val="0"/>
                <w:sz w:val="24"/>
                <w:szCs w:val="24"/>
                <w:highlight w:val="none"/>
                <w:lang w:val="en-US" w:eastAsia="zh-CN" w:bidi="ar"/>
              </w:rPr>
            </w:pPr>
            <w:r>
              <w:rPr>
                <w:rFonts w:hint="eastAsia" w:ascii="仿宋_GB2312" w:hAnsi="仿宋_GB2312" w:eastAsia="仿宋_GB2312" w:cs="仿宋_GB2312"/>
                <w:b w:val="0"/>
                <w:bCs w:val="0"/>
                <w:kern w:val="0"/>
                <w:sz w:val="24"/>
                <w:szCs w:val="24"/>
                <w:highlight w:val="none"/>
                <w:lang w:val="en-US" w:eastAsia="zh-CN" w:bidi="ar"/>
              </w:rPr>
              <w:t>1、企业行业归属与实际业务脱节普遍存在</w:t>
            </w:r>
          </w:p>
          <w:p w14:paraId="5B847027">
            <w:pPr>
              <w:keepNext w:val="0"/>
              <w:keepLines w:val="0"/>
              <w:pageBreakBefore w:val="0"/>
              <w:widowControl/>
              <w:kinsoku/>
              <w:wordWrap w:val="0"/>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kern w:val="0"/>
                <w:sz w:val="24"/>
                <w:szCs w:val="24"/>
                <w:highlight w:val="none"/>
                <w:lang w:val="en-US" w:eastAsia="zh-CN" w:bidi="ar"/>
              </w:rPr>
            </w:pPr>
            <w:r>
              <w:rPr>
                <w:rFonts w:hint="eastAsia" w:ascii="仿宋_GB2312" w:hAnsi="仿宋_GB2312" w:eastAsia="仿宋_GB2312" w:cs="仿宋_GB2312"/>
                <w:b w:val="0"/>
                <w:bCs w:val="0"/>
                <w:kern w:val="0"/>
                <w:sz w:val="24"/>
                <w:szCs w:val="24"/>
                <w:highlight w:val="none"/>
                <w:lang w:val="en-US" w:eastAsia="zh-CN" w:bidi="ar"/>
              </w:rPr>
              <w:t>许多机器人产业链相关企业在工商注册时，出于历史原因或经营范围覆盖较广，其国民经济行业分类不属于可能属于“批发业”“软件和信息技术服务业”“科技推广服务业”等，但其实际主营业务和核心竞争力正是机器人核心零部件或本体的研发与生产。若强制要求行业类别为“制造业”，会将一批具备核心技术、处于产业链关键环节的企业排除在外。</w:t>
            </w:r>
          </w:p>
          <w:p w14:paraId="01FAFF7A">
            <w:pPr>
              <w:keepNext w:val="0"/>
              <w:keepLines w:val="0"/>
              <w:pageBreakBefore w:val="0"/>
              <w:widowControl/>
              <w:kinsoku/>
              <w:wordWrap w:val="0"/>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kern w:val="0"/>
                <w:sz w:val="24"/>
                <w:szCs w:val="24"/>
                <w:highlight w:val="none"/>
                <w:lang w:val="en-US" w:eastAsia="zh-CN" w:bidi="ar"/>
              </w:rPr>
            </w:pPr>
            <w:r>
              <w:rPr>
                <w:rFonts w:hint="eastAsia" w:ascii="仿宋_GB2312" w:hAnsi="仿宋_GB2312" w:eastAsia="仿宋_GB2312" w:cs="仿宋_GB2312"/>
                <w:b w:val="0"/>
                <w:bCs w:val="0"/>
                <w:kern w:val="0"/>
                <w:sz w:val="24"/>
                <w:szCs w:val="24"/>
                <w:highlight w:val="none"/>
                <w:lang w:val="en-US" w:eastAsia="zh-CN" w:bidi="ar"/>
              </w:rPr>
              <w:t>2、鼓励跨界融合与新兴主体参与</w:t>
            </w:r>
          </w:p>
          <w:p w14:paraId="7CA7D6C2">
            <w:pPr>
              <w:keepNext w:val="0"/>
              <w:keepLines w:val="0"/>
              <w:pageBreakBefore w:val="0"/>
              <w:widowControl/>
              <w:kinsoku/>
              <w:wordWrap w:val="0"/>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kern w:val="0"/>
                <w:sz w:val="24"/>
                <w:szCs w:val="24"/>
                <w:highlight w:val="none"/>
                <w:lang w:val="en-US" w:eastAsia="zh-CN" w:bidi="ar"/>
              </w:rPr>
            </w:pPr>
            <w:r>
              <w:rPr>
                <w:rFonts w:hint="eastAsia" w:ascii="仿宋_GB2312" w:hAnsi="仿宋_GB2312" w:eastAsia="仿宋_GB2312" w:cs="仿宋_GB2312"/>
                <w:b w:val="0"/>
                <w:bCs w:val="0"/>
                <w:kern w:val="0"/>
                <w:sz w:val="24"/>
                <w:szCs w:val="24"/>
                <w:highlight w:val="none"/>
                <w:lang w:val="en-US" w:eastAsia="zh-CN" w:bidi="ar"/>
              </w:rPr>
              <w:t>当前机器人产业发展迅速，不少汽车零部件企业、精密仪器企业、电子设备企业甚至家电企业，基于自身技术积累已拓展进入机器人电机、减速器、灵巧手等领域。这些企业原有行业类别并非“机器人制造”，但其生产线与技术能力完全符合项目要求。以“营业范围”作为认定标准，更能适应产业交叉融合的现实。</w:t>
            </w:r>
          </w:p>
          <w:p w14:paraId="791BB914">
            <w:pPr>
              <w:keepNext w:val="0"/>
              <w:keepLines w:val="0"/>
              <w:pageBreakBefore w:val="0"/>
              <w:widowControl/>
              <w:kinsoku/>
              <w:wordWrap w:val="0"/>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kern w:val="0"/>
                <w:sz w:val="24"/>
                <w:szCs w:val="24"/>
                <w:highlight w:val="none"/>
                <w:lang w:val="en-US" w:eastAsia="zh-CN" w:bidi="ar"/>
              </w:rPr>
            </w:pPr>
            <w:r>
              <w:rPr>
                <w:rFonts w:hint="eastAsia" w:ascii="仿宋_GB2312" w:hAnsi="仿宋_GB2312" w:eastAsia="仿宋_GB2312" w:cs="仿宋_GB2312"/>
                <w:b w:val="0"/>
                <w:bCs w:val="0"/>
                <w:kern w:val="0"/>
                <w:sz w:val="24"/>
                <w:szCs w:val="24"/>
                <w:highlight w:val="none"/>
                <w:lang w:val="en-US" w:eastAsia="zh-CN" w:bidi="ar"/>
              </w:rPr>
              <w:t>3、与国家及地方现行做法一致</w:t>
            </w:r>
          </w:p>
          <w:p w14:paraId="53EEE520">
            <w:pPr>
              <w:keepNext w:val="0"/>
              <w:keepLines w:val="0"/>
              <w:pageBreakBefore w:val="0"/>
              <w:widowControl/>
              <w:kinsoku/>
              <w:wordWrap w:val="0"/>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kern w:val="0"/>
                <w:sz w:val="24"/>
                <w:szCs w:val="24"/>
                <w:highlight w:val="none"/>
                <w:lang w:val="en-US" w:eastAsia="zh-CN" w:bidi="ar"/>
              </w:rPr>
            </w:pPr>
            <w:r>
              <w:rPr>
                <w:rFonts w:hint="eastAsia" w:ascii="仿宋_GB2312" w:hAnsi="仿宋_GB2312" w:eastAsia="仿宋_GB2312" w:cs="仿宋_GB2312"/>
                <w:b w:val="0"/>
                <w:bCs w:val="0"/>
                <w:kern w:val="0"/>
                <w:sz w:val="24"/>
                <w:szCs w:val="24"/>
                <w:highlight w:val="none"/>
                <w:lang w:val="en-US" w:eastAsia="zh-CN" w:bidi="ar"/>
              </w:rPr>
              <w:t>近年来多地政府（如深圳、上海、北京）在机器人、人工智能等产业项目申报中，已逐步淡化行业类别限制，转而以营业执照经营范围+主营业务说明+产品/样品或订单证明作为资格认定的主要依据。例如，《深圳市关于推动高端装备制造产业高质量发展的若干措施》中明确，对“具备核心零部件量产能力的企业”予以支持，未强制要求行业代码。</w:t>
            </w:r>
          </w:p>
        </w:tc>
        <w:tc>
          <w:tcPr>
            <w:tcW w:w="1400" w:type="dxa"/>
            <w:tcBorders>
              <w:top w:val="single" w:color="000000" w:themeColor="text1" w:sz="6" w:space="0"/>
              <w:left w:val="single" w:color="000000" w:themeColor="text1" w:sz="6" w:space="0"/>
              <w:bottom w:val="single" w:color="000000" w:sz="6" w:space="0"/>
              <w:right w:val="single" w:color="000000" w:themeColor="text1" w:sz="6" w:space="0"/>
            </w:tcBorders>
            <w:shd w:val="clear" w:color="auto" w:fill="auto"/>
            <w:noWrap w:val="0"/>
            <w:tcMar>
              <w:top w:w="75" w:type="dxa"/>
              <w:left w:w="150" w:type="dxa"/>
              <w:bottom w:w="75" w:type="dxa"/>
              <w:right w:w="150" w:type="dxa"/>
            </w:tcMar>
            <w:vAlign w:val="center"/>
          </w:tcPr>
          <w:p w14:paraId="2CF8B681">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解释说明</w:t>
            </w:r>
          </w:p>
        </w:tc>
        <w:tc>
          <w:tcPr>
            <w:tcW w:w="3199" w:type="dxa"/>
            <w:tcBorders>
              <w:top w:val="single" w:color="000000" w:themeColor="text1" w:sz="6" w:space="0"/>
              <w:left w:val="single" w:color="000000" w:themeColor="text1" w:sz="6" w:space="0"/>
              <w:bottom w:val="single" w:color="000000" w:sz="6" w:space="0"/>
              <w:right w:val="single" w:color="000000" w:themeColor="text1" w:sz="6" w:space="0"/>
            </w:tcBorders>
            <w:shd w:val="clear" w:color="auto" w:fill="auto"/>
            <w:noWrap w:val="0"/>
            <w:tcMar>
              <w:top w:w="75" w:type="dxa"/>
              <w:left w:w="150" w:type="dxa"/>
              <w:bottom w:w="75" w:type="dxa"/>
              <w:right w:w="150" w:type="dxa"/>
            </w:tcMar>
            <w:vAlign w:val="center"/>
          </w:tcPr>
          <w:p w14:paraId="6DF59A84">
            <w:pPr>
              <w:keepNext w:val="0"/>
              <w:keepLines w:val="0"/>
              <w:pageBreakBefore w:val="0"/>
              <w:widowControl/>
              <w:kinsoku/>
              <w:wordWrap w:val="0"/>
              <w:overflowPunct/>
              <w:topLinePunct w:val="0"/>
              <w:autoSpaceDE/>
              <w:autoSpaceDN/>
              <w:bidi w:val="0"/>
              <w:adjustRightInd/>
              <w:snapToGrid/>
              <w:spacing w:line="400" w:lineRule="exact"/>
              <w:jc w:val="both"/>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深圳市关于加力支持工业企业设备更新和技术改造的若干措施》（深府办规〔2026〕1号，简称《若干措施》）明确支持对象为工业企业。本规程为《若干措施》配套政策，相关条款内容和支持对象须与上位法保持一致。</w:t>
            </w:r>
          </w:p>
        </w:tc>
      </w:tr>
      <w:tr w14:paraId="07871E1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050" w:hRule="atLeast"/>
          <w:jc w:val="center"/>
        </w:trPr>
        <w:tc>
          <w:tcPr>
            <w:tcW w:w="876" w:type="dxa"/>
            <w:tcBorders>
              <w:top w:val="single" w:color="000000" w:themeColor="text1" w:sz="6" w:space="0"/>
              <w:left w:val="single" w:color="000000" w:sz="6" w:space="0"/>
              <w:right w:val="single" w:color="000000" w:themeColor="text1" w:sz="6" w:space="0"/>
            </w:tcBorders>
            <w:noWrap w:val="0"/>
            <w:tcMar>
              <w:top w:w="75" w:type="dxa"/>
              <w:left w:w="150" w:type="dxa"/>
              <w:bottom w:w="75" w:type="dxa"/>
              <w:right w:w="150" w:type="dxa"/>
            </w:tcMar>
            <w:vAlign w:val="center"/>
          </w:tcPr>
          <w:p w14:paraId="71FEC469">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3</w:t>
            </w:r>
          </w:p>
        </w:tc>
        <w:tc>
          <w:tcPr>
            <w:tcW w:w="1849" w:type="dxa"/>
            <w:tcBorders>
              <w:top w:val="single" w:color="000000" w:themeColor="text1" w:sz="6" w:space="0"/>
              <w:left w:val="single" w:color="000000" w:themeColor="text1" w:sz="6" w:space="0"/>
              <w:right w:val="single" w:color="000000" w:sz="6" w:space="0"/>
            </w:tcBorders>
            <w:noWrap w:val="0"/>
            <w:tcMar>
              <w:top w:w="75" w:type="dxa"/>
              <w:left w:w="150" w:type="dxa"/>
              <w:bottom w:w="75" w:type="dxa"/>
              <w:right w:w="150" w:type="dxa"/>
            </w:tcMar>
            <w:vAlign w:val="center"/>
          </w:tcPr>
          <w:p w14:paraId="746E429E">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w:t>
            </w:r>
            <w:r>
              <w:rPr>
                <w:rFonts w:hint="eastAsia" w:ascii="仿宋_GB2312" w:hAnsi="仿宋_GB2312" w:eastAsia="仿宋_GB2312" w:cs="仿宋_GB2312"/>
                <w:kern w:val="0"/>
                <w:sz w:val="24"/>
                <w:szCs w:val="24"/>
                <w:highlight w:val="none"/>
                <w:lang w:bidi="ar"/>
              </w:rPr>
              <w:t>仪器股份有限公司</w:t>
            </w:r>
          </w:p>
        </w:tc>
        <w:tc>
          <w:tcPr>
            <w:tcW w:w="6902"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14:paraId="4ECB4964">
            <w:pPr>
              <w:keepNext w:val="0"/>
              <w:keepLines w:val="0"/>
              <w:pageBreakBefore w:val="0"/>
              <w:widowControl/>
              <w:kinsoku/>
              <w:wordWrap w:val="0"/>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kern w:val="0"/>
                <w:sz w:val="24"/>
                <w:szCs w:val="24"/>
                <w:highlight w:val="none"/>
                <w:lang w:val="en-US" w:eastAsia="zh-CN" w:bidi="ar"/>
              </w:rPr>
            </w:pPr>
            <w:r>
              <w:rPr>
                <w:rFonts w:hint="eastAsia" w:ascii="仿宋_GB2312" w:hAnsi="仿宋_GB2312" w:eastAsia="仿宋_GB2312" w:cs="仿宋_GB2312"/>
                <w:b w:val="0"/>
                <w:bCs w:val="0"/>
                <w:kern w:val="0"/>
                <w:sz w:val="24"/>
                <w:szCs w:val="24"/>
                <w:highlight w:val="none"/>
                <w:lang w:val="en-US" w:eastAsia="zh-CN" w:bidi="ar"/>
              </w:rPr>
              <w:t>意见：一、扩大智能工厂认定范围。建议将原文“打造5G工厂、卓越级和领航级智能工厂”，修订为：打造5G工厂、卓越级、领航级智能工厂、智能制造能力成熟度四级工厂、先进级智能工厂。二、降低技改投资准入门槛。建议将智能制造项目技术改造投资额门槛由500万元及以上下调至300万元及以上。三、实行分档差异化资助标准。建议将原固定资助比例优化为分档资助，兼顾普惠性与引导性：项目审定总投资300万元（含）—500万元：按不超过15%予以资助；项目审定总投资500万元及以上：按不超过20%予以资助；单个项目资助上限保持1000万元不变。</w:t>
            </w:r>
          </w:p>
          <w:p w14:paraId="72F26F26">
            <w:pPr>
              <w:keepNext w:val="0"/>
              <w:keepLines w:val="0"/>
              <w:pageBreakBefore w:val="0"/>
              <w:widowControl/>
              <w:kinsoku/>
              <w:wordWrap w:val="0"/>
              <w:overflowPunct/>
              <w:topLinePunct w:val="0"/>
              <w:autoSpaceDE/>
              <w:autoSpaceDN/>
              <w:bidi w:val="0"/>
              <w:adjustRightInd/>
              <w:snapToGrid/>
              <w:spacing w:line="400" w:lineRule="exact"/>
              <w:jc w:val="both"/>
              <w:textAlignment w:val="auto"/>
              <w:rPr>
                <w:rFonts w:hint="default" w:ascii="仿宋_GB2312" w:hAnsi="仿宋_GB2312" w:eastAsia="仿宋_GB2312" w:cs="仿宋_GB2312"/>
                <w:b w:val="0"/>
                <w:bCs w:val="0"/>
                <w:kern w:val="0"/>
                <w:sz w:val="24"/>
                <w:szCs w:val="24"/>
                <w:highlight w:val="none"/>
                <w:lang w:val="en-US" w:eastAsia="zh-CN" w:bidi="ar"/>
              </w:rPr>
            </w:pPr>
            <w:r>
              <w:rPr>
                <w:rFonts w:hint="eastAsia" w:ascii="仿宋_GB2312" w:hAnsi="仿宋_GB2312" w:eastAsia="仿宋_GB2312" w:cs="仿宋_GB2312"/>
                <w:b w:val="0"/>
                <w:bCs w:val="0"/>
                <w:kern w:val="0"/>
                <w:sz w:val="24"/>
                <w:szCs w:val="24"/>
                <w:highlight w:val="none"/>
                <w:lang w:val="en-US" w:eastAsia="zh-CN" w:bidi="ar"/>
              </w:rPr>
              <w:t>原因：1.通过扩大认定范围，与我市智能制造分级评价体系全面衔接，覆盖更多优质标杆项目，提升政策适配性。2.降低中小企业智能化改造申报门槛，激发更多市场主体参与技改升级的积极性。</w:t>
            </w:r>
          </w:p>
        </w:tc>
        <w:tc>
          <w:tcPr>
            <w:tcW w:w="1400"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14:paraId="3462ABAE">
            <w:pPr>
              <w:keepNext w:val="0"/>
              <w:keepLines w:val="0"/>
              <w:pageBreakBefore w:val="0"/>
              <w:widowControl/>
              <w:kinsoku/>
              <w:wordWrap w:val="0"/>
              <w:overflowPunct/>
              <w:topLinePunct w:val="0"/>
              <w:autoSpaceDE/>
              <w:autoSpaceDN/>
              <w:bidi w:val="0"/>
              <w:adjustRightInd/>
              <w:snapToGrid/>
              <w:spacing w:line="400" w:lineRule="exact"/>
              <w:jc w:val="both"/>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解释说明</w:t>
            </w:r>
          </w:p>
        </w:tc>
        <w:tc>
          <w:tcPr>
            <w:tcW w:w="3199"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14:paraId="38102F8E">
            <w:pPr>
              <w:keepNext w:val="0"/>
              <w:keepLines w:val="0"/>
              <w:pageBreakBefore w:val="0"/>
              <w:widowControl/>
              <w:kinsoku/>
              <w:wordWrap w:val="0"/>
              <w:overflowPunct/>
              <w:topLinePunct w:val="0"/>
              <w:autoSpaceDE/>
              <w:autoSpaceDN/>
              <w:bidi w:val="0"/>
              <w:adjustRightInd/>
              <w:snapToGrid/>
              <w:spacing w:line="400" w:lineRule="exact"/>
              <w:jc w:val="both"/>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本规程为《深圳市关于加力支持工业企业设备更新和技术改造的若干措施》（深府办规〔2026〕1号）配套政策，相关条款内容须与上位法保持一致。</w:t>
            </w:r>
          </w:p>
        </w:tc>
      </w:tr>
    </w:tbl>
    <w:p w14:paraId="1FEE02F0">
      <w:pPr>
        <w:rPr>
          <w:rFonts w:hint="default" w:eastAsia="宋体"/>
          <w:lang w:val="en-US" w:eastAsia="zh-CN"/>
        </w:rPr>
      </w:pPr>
      <w:r>
        <w:rPr>
          <w:rFonts w:hint="eastAsia"/>
          <w:lang w:val="en-US" w:eastAsia="zh-CN"/>
        </w:rPr>
        <w:t>注：本操作规程后续将</w:t>
      </w:r>
      <w:bookmarkStart w:id="0" w:name="_GoBack"/>
      <w:bookmarkEnd w:id="0"/>
      <w:r>
        <w:rPr>
          <w:rFonts w:hint="eastAsia"/>
          <w:lang w:val="en-US" w:eastAsia="zh-CN"/>
        </w:rPr>
        <w:t>根据国家有关规定和要求修订。</w:t>
      </w:r>
    </w:p>
    <w:sectPr>
      <w:footerReference r:id="rId3" w:type="default"/>
      <w:pgSz w:w="16838" w:h="11906" w:orient="landscape"/>
      <w:pgMar w:top="1440" w:right="1440" w:bottom="1440" w:left="144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49C9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81C6E">
                          <w:pPr>
                            <w:pStyle w:val="2"/>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181C6E">
                    <w:pPr>
                      <w:pStyle w:val="2"/>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NzI2ZjI5ZjBhNzYzMjIwNzg2NzRjYzQ3YzJmMzUifQ=="/>
  </w:docVars>
  <w:rsids>
    <w:rsidRoot w:val="7FEEB717"/>
    <w:rsid w:val="049C5137"/>
    <w:rsid w:val="087A4E72"/>
    <w:rsid w:val="132F0080"/>
    <w:rsid w:val="143B580D"/>
    <w:rsid w:val="16D2221D"/>
    <w:rsid w:val="200552A2"/>
    <w:rsid w:val="3345345E"/>
    <w:rsid w:val="35B82894"/>
    <w:rsid w:val="37691B98"/>
    <w:rsid w:val="3AB962FE"/>
    <w:rsid w:val="3DFB7A9A"/>
    <w:rsid w:val="3E6BF0DA"/>
    <w:rsid w:val="4733080E"/>
    <w:rsid w:val="47BF301E"/>
    <w:rsid w:val="4C864102"/>
    <w:rsid w:val="578C1619"/>
    <w:rsid w:val="5AE97833"/>
    <w:rsid w:val="5C6A3A2D"/>
    <w:rsid w:val="64739A60"/>
    <w:rsid w:val="67FE5096"/>
    <w:rsid w:val="67FFE0A7"/>
    <w:rsid w:val="6AFF2EB6"/>
    <w:rsid w:val="6CDF26E6"/>
    <w:rsid w:val="6DF1132F"/>
    <w:rsid w:val="73DFBB05"/>
    <w:rsid w:val="75B8BE99"/>
    <w:rsid w:val="76FC74ED"/>
    <w:rsid w:val="77FEB05D"/>
    <w:rsid w:val="79CE51CC"/>
    <w:rsid w:val="7B1DA88C"/>
    <w:rsid w:val="7E3255B6"/>
    <w:rsid w:val="7FD47D8C"/>
    <w:rsid w:val="7FEEB717"/>
    <w:rsid w:val="7FFA1222"/>
    <w:rsid w:val="7FFFF81E"/>
    <w:rsid w:val="8FFD130F"/>
    <w:rsid w:val="9E9560D2"/>
    <w:rsid w:val="EFEE42CA"/>
    <w:rsid w:val="F5D3133D"/>
    <w:rsid w:val="F7EFC2D4"/>
    <w:rsid w:val="FEBF82C7"/>
    <w:rsid w:val="FEE3F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附件"/>
    <w:basedOn w:val="1"/>
    <w:qFormat/>
    <w:uiPriority w:val="3"/>
    <w:pPr>
      <w:spacing w:line="540" w:lineRule="exact"/>
      <w:ind w:left="1014" w:hanging="1014" w:hangingChars="326"/>
    </w:pPr>
    <w:rPr>
      <w:rFonts w:ascii="黑体" w:hAnsi="黑体" w:eastAsia="黑体"/>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1562</Words>
  <Characters>1627</Characters>
  <Lines>0</Lines>
  <Paragraphs>0</Paragraphs>
  <TotalTime>32</TotalTime>
  <ScaleCrop>false</ScaleCrop>
  <LinksUpToDate>false</LinksUpToDate>
  <CharactersWithSpaces>1627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2023-09-29T19:26:00Z</dcterms:created>
  <dc:creator>qiutt</dc:creator>
  <cp:lastModifiedBy>鸭</cp:lastModifiedBy>
  <cp:lastPrinted>2026-05-21T09:45:00Z</cp:lastPrinted>
  <dcterms:modified xsi:type="dcterms:W3CDTF">2026-05-22T06:57:29Z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E0FE8A409B984B45A71890DB273D4F5E_13</vt:lpwstr>
  </property>
  <property fmtid="{D5CDD505-2E9C-101B-9397-08002B2CF9AE}" pid="4" name="KSOTemplateDocerSaveRecord">
    <vt:lpwstr>eyJoZGlkIjoiN2YzNjBkOTgyNWQ1YTMxYzM3MzMwNWFiODNmOWIzYWMiLCJ1c2VySWQiOiIxMjk0Nzc2ODYwIn0=</vt:lpwstr>
  </property>
</Properties>
</file>