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rFonts w:ascii="黑体" w:hAnsi="黑体" w:eastAsia="黑体" w:cs="黑体"/>
          <w:b w:val="0"/>
          <w:bCs/>
          <w:sz w:val="32"/>
          <w:szCs w:val="32"/>
        </w:rPr>
      </w:pPr>
      <w:r>
        <w:rPr>
          <w:rFonts w:hint="eastAsia" w:ascii="黑体" w:hAnsi="黑体" w:eastAsia="黑体" w:cs="黑体"/>
          <w:b w:val="0"/>
          <w:bCs/>
          <w:sz w:val="32"/>
          <w:szCs w:val="32"/>
        </w:rPr>
        <w:t>附件</w:t>
      </w:r>
      <w:r>
        <w:rPr>
          <w:rFonts w:hint="eastAsia" w:ascii="黑体" w:hAnsi="黑体" w:eastAsia="黑体" w:cs="黑体"/>
          <w:b w:val="0"/>
          <w:bCs/>
          <w:sz w:val="32"/>
          <w:szCs w:val="32"/>
          <w:lang w:val="en-US" w:eastAsia="zh-CN"/>
        </w:rPr>
        <w:t>3</w:t>
      </w:r>
      <w:bookmarkStart w:id="0" w:name="_GoBack"/>
      <w:bookmarkEnd w:id="0"/>
    </w:p>
    <w:p>
      <w:pPr>
        <w:pStyle w:val="2"/>
        <w:jc w:val="center"/>
        <w:rPr>
          <w:sz w:val="36"/>
          <w:szCs w:val="21"/>
        </w:rPr>
      </w:pPr>
      <w:r>
        <w:rPr>
          <w:rFonts w:hint="eastAsia" w:ascii="方正小标宋简体" w:hAnsi="方正小标宋简体" w:eastAsia="方正小标宋简体" w:cs="方正小标宋简体"/>
          <w:b w:val="0"/>
          <w:bCs/>
          <w:szCs w:val="44"/>
        </w:rPr>
        <w:t>企业申报端操作指引</w:t>
      </w:r>
    </w:p>
    <w:p>
      <w:pPr>
        <w:numPr>
          <w:ilvl w:val="0"/>
          <w:numId w:val="1"/>
        </w:numPr>
      </w:pPr>
      <w:r>
        <w:rPr>
          <w:rFonts w:hint="eastAsia"/>
          <w:sz w:val="28"/>
          <w:szCs w:val="36"/>
        </w:rPr>
        <w:t>业务申报步骤</w:t>
      </w:r>
    </w:p>
    <w:p>
      <w:pPr>
        <w:numPr>
          <w:ilvl w:val="0"/>
          <w:numId w:val="2"/>
        </w:numPr>
        <w:ind w:firstLine="420"/>
      </w:pPr>
      <w:r>
        <w:rPr>
          <w:rFonts w:hint="eastAsia"/>
        </w:rPr>
        <w:t>企业</w:t>
      </w:r>
      <w:r>
        <w:t>申报</w:t>
      </w:r>
      <w:r>
        <w:rPr>
          <w:rFonts w:hint="eastAsia"/>
        </w:rPr>
        <w:t>的</w:t>
      </w:r>
      <w:r>
        <w:t>入口</w:t>
      </w:r>
      <w:r>
        <w:rPr>
          <w:rFonts w:hint="eastAsia"/>
        </w:rPr>
        <w:t>和步骤如下</w:t>
      </w:r>
      <w:r>
        <w:t>：</w:t>
      </w:r>
    </w:p>
    <w:p>
      <w:pPr>
        <w:numPr>
          <w:ilvl w:val="0"/>
          <w:numId w:val="3"/>
        </w:numPr>
        <w:ind w:firstLine="420"/>
      </w:pPr>
      <w:r>
        <w:t>登录广东政务服务网（https://www.gdzwfw.gov.cn/）</w:t>
      </w:r>
      <w:r>
        <w:rPr>
          <w:rFonts w:hint="eastAsia"/>
        </w:rPr>
        <w:t>。</w:t>
      </w:r>
    </w:p>
    <w:p>
      <w:pPr>
        <w:numPr>
          <w:ilvl w:val="0"/>
          <w:numId w:val="3"/>
        </w:numPr>
        <w:ind w:firstLine="420"/>
      </w:pPr>
      <w:r>
        <w:t>选择“深圳市”</w:t>
      </w:r>
      <w:r>
        <w:rPr>
          <w:rFonts w:hint="eastAsia"/>
        </w:rPr>
        <w:t>、</w:t>
      </w:r>
      <w:r>
        <w:t>“市工业和信息化局”</w:t>
      </w:r>
      <w:r>
        <w:rPr>
          <w:rFonts w:hint="eastAsia"/>
        </w:rPr>
        <w:t>。</w:t>
      </w:r>
    </w:p>
    <w:p>
      <w:pPr>
        <w:jc w:val="center"/>
      </w:pPr>
      <w:r>
        <w:drawing>
          <wp:inline distT="0" distB="0" distL="114300" distR="114300">
            <wp:extent cx="4866005" cy="3044825"/>
            <wp:effectExtent l="0" t="0" r="10795" b="317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
                    <a:stretch>
                      <a:fillRect/>
                    </a:stretch>
                  </pic:blipFill>
                  <pic:spPr>
                    <a:xfrm>
                      <a:off x="0" y="0"/>
                      <a:ext cx="4866005" cy="3044825"/>
                    </a:xfrm>
                    <a:prstGeom prst="rect">
                      <a:avLst/>
                    </a:prstGeom>
                  </pic:spPr>
                </pic:pic>
              </a:graphicData>
            </a:graphic>
          </wp:inline>
        </w:drawing>
      </w:r>
    </w:p>
    <w:p>
      <w:pPr>
        <w:numPr>
          <w:ilvl w:val="0"/>
          <w:numId w:val="3"/>
        </w:numPr>
        <w:ind w:firstLine="420"/>
      </w:pPr>
      <w:r>
        <w:t>搜索需要申报的事项名称，选择申报业务情形</w:t>
      </w:r>
      <w:r>
        <w:rPr>
          <w:rFonts w:hint="eastAsia"/>
        </w:rPr>
        <w:t>。</w:t>
      </w:r>
    </w:p>
    <w:p>
      <w:pPr>
        <w:numPr>
          <w:ilvl w:val="0"/>
          <w:numId w:val="3"/>
        </w:numPr>
        <w:ind w:firstLine="420"/>
      </w:pPr>
      <w:r>
        <w:t>点击“在线办理”进行申报、提交项目申请材料。</w:t>
      </w:r>
    </w:p>
    <w:p>
      <w:pPr>
        <w:jc w:val="center"/>
      </w:pPr>
    </w:p>
    <w:p>
      <w:pPr>
        <w:jc w:val="center"/>
      </w:pPr>
      <w:r>
        <w:drawing>
          <wp:inline distT="0" distB="0" distL="114300" distR="114300">
            <wp:extent cx="4895850" cy="3067685"/>
            <wp:effectExtent l="0" t="0" r="0" b="184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5"/>
                    <a:stretch>
                      <a:fillRect/>
                    </a:stretch>
                  </pic:blipFill>
                  <pic:spPr>
                    <a:xfrm>
                      <a:off x="0" y="0"/>
                      <a:ext cx="4895850" cy="3067685"/>
                    </a:xfrm>
                    <a:prstGeom prst="rect">
                      <a:avLst/>
                    </a:prstGeom>
                  </pic:spPr>
                </pic:pic>
              </a:graphicData>
            </a:graphic>
          </wp:inline>
        </w:drawing>
      </w:r>
    </w:p>
    <w:p>
      <w:pPr>
        <w:numPr>
          <w:ilvl w:val="0"/>
          <w:numId w:val="4"/>
        </w:numPr>
        <w:ind w:firstLine="420"/>
        <w:jc w:val="left"/>
      </w:pPr>
      <w:r>
        <w:rPr>
          <w:rFonts w:hint="eastAsia"/>
        </w:rPr>
        <w:t>申报信息填写完毕后，需要上传申报所需的材料清单文件，注意事项：材料形式若为纸质，则不需要在系统上进行文件上传。</w:t>
      </w:r>
    </w:p>
    <w:p>
      <w:pPr>
        <w:jc w:val="left"/>
      </w:pPr>
    </w:p>
    <w:p>
      <w:pPr>
        <w:ind w:firstLine="420"/>
        <w:jc w:val="left"/>
      </w:pPr>
      <w:r>
        <w:drawing>
          <wp:inline distT="0" distB="0" distL="114300" distR="114300">
            <wp:extent cx="5347970" cy="3616960"/>
            <wp:effectExtent l="0" t="0" r="5080" b="25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347970" cy="3616960"/>
                    </a:xfrm>
                    <a:prstGeom prst="rect">
                      <a:avLst/>
                    </a:prstGeom>
                  </pic:spPr>
                </pic:pic>
              </a:graphicData>
            </a:graphic>
          </wp:inline>
        </w:drawing>
      </w:r>
    </w:p>
    <w:p>
      <w:pPr>
        <w:ind w:firstLine="420"/>
        <w:jc w:val="left"/>
      </w:pPr>
    </w:p>
    <w:p>
      <w:pPr>
        <w:numPr>
          <w:ilvl w:val="0"/>
          <w:numId w:val="1"/>
        </w:numPr>
      </w:pPr>
      <w:r>
        <w:rPr>
          <w:rFonts w:hint="eastAsia"/>
          <w:sz w:val="28"/>
          <w:szCs w:val="36"/>
        </w:rPr>
        <w:t>申报记录查询步骤</w:t>
      </w:r>
    </w:p>
    <w:p>
      <w:pPr>
        <w:ind w:firstLine="420"/>
      </w:pPr>
      <w:r>
        <w:rPr>
          <w:rFonts w:hint="eastAsia"/>
        </w:rPr>
        <w:t>对于在申报过程中未填完所有信息的用户或已经填写完所有信息且成功提交的用户，若</w:t>
      </w:r>
      <w:r>
        <w:t>需要查看</w:t>
      </w:r>
      <w:r>
        <w:rPr>
          <w:rFonts w:hint="eastAsia"/>
        </w:rPr>
        <w:t>以上未完成或已提交成功</w:t>
      </w:r>
      <w:r>
        <w:t>的申报记录</w:t>
      </w:r>
      <w:r>
        <w:rPr>
          <w:rFonts w:hint="eastAsia"/>
        </w:rPr>
        <w:t>，可按以下</w:t>
      </w:r>
      <w:r>
        <w:t>步骤</w:t>
      </w:r>
      <w:r>
        <w:rPr>
          <w:rFonts w:hint="eastAsia"/>
        </w:rPr>
        <w:t>进行查询</w:t>
      </w:r>
      <w:r>
        <w:t>：</w:t>
      </w:r>
    </w:p>
    <w:p>
      <w:pPr>
        <w:ind w:firstLine="420"/>
      </w:pPr>
      <w:r>
        <w:rPr>
          <w:rFonts w:hint="eastAsia"/>
        </w:rPr>
        <w:t>（1）</w:t>
      </w:r>
      <w:r>
        <w:t>登录广东政务服务网（https://www.gdzwfw.gov.cn/）</w:t>
      </w:r>
      <w:r>
        <w:rPr>
          <w:rFonts w:ascii="Arial" w:hAnsi="Arial" w:cs="Arial"/>
        </w:rPr>
        <w:t>→</w:t>
      </w:r>
      <w:r>
        <w:t xml:space="preserve"> 选择“深圳市”“深圳市工业和信息化局”</w:t>
      </w:r>
      <w:r>
        <w:rPr>
          <w:rFonts w:ascii="Arial" w:hAnsi="Arial" w:cs="Arial"/>
        </w:rPr>
        <w:t>→</w:t>
      </w:r>
      <w:r>
        <w:t>“办事记录”。</w:t>
      </w:r>
    </w:p>
    <w:p>
      <w:pPr>
        <w:ind w:firstLine="420"/>
      </w:pPr>
    </w:p>
    <w:p>
      <w:pPr>
        <w:jc w:val="center"/>
      </w:pPr>
      <w:r>
        <w:drawing>
          <wp:inline distT="0" distB="0" distL="114300" distR="114300">
            <wp:extent cx="5031740" cy="2849245"/>
            <wp:effectExtent l="0" t="0" r="16510"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5031740" cy="2849245"/>
                    </a:xfrm>
                    <a:prstGeom prst="rect">
                      <a:avLst/>
                    </a:prstGeom>
                  </pic:spPr>
                </pic:pic>
              </a:graphicData>
            </a:graphic>
          </wp:inline>
        </w:drawing>
      </w:r>
    </w:p>
    <w:p>
      <w:pPr>
        <w:numPr>
          <w:ilvl w:val="0"/>
          <w:numId w:val="5"/>
        </w:numPr>
        <w:ind w:firstLine="420"/>
      </w:pPr>
      <w:r>
        <w:t>用户</w:t>
      </w:r>
      <w:r>
        <w:rPr>
          <w:rFonts w:hint="eastAsia"/>
        </w:rPr>
        <w:t>点击</w:t>
      </w:r>
      <w:r>
        <w:t>“办事记录”后，</w:t>
      </w:r>
      <w:r>
        <w:rPr>
          <w:rFonts w:hint="eastAsia"/>
        </w:rPr>
        <w:t>会跳转到</w:t>
      </w:r>
      <w:r>
        <w:t>“深圳市企业专属网页”，在</w:t>
      </w:r>
      <w:r>
        <w:rPr>
          <w:rFonts w:hint="eastAsia"/>
        </w:rPr>
        <w:t>此界面</w:t>
      </w:r>
      <w:r>
        <w:t>用户</w:t>
      </w:r>
      <w:r>
        <w:rPr>
          <w:rFonts w:hint="eastAsia"/>
        </w:rPr>
        <w:t>可以查看所有的</w:t>
      </w:r>
      <w:r>
        <w:t>申报记录</w:t>
      </w:r>
      <w:r>
        <w:rPr>
          <w:rFonts w:hint="eastAsia"/>
        </w:rPr>
        <w:t>包括已提交成功的、未提交的、提交被驳回的等等</w:t>
      </w:r>
      <w:r>
        <w:t>，</w:t>
      </w:r>
      <w:r>
        <w:rPr>
          <w:rFonts w:hint="eastAsia"/>
        </w:rPr>
        <w:t>对于被驳回的申报记录可以查看详细的驳回详情；同时提供</w:t>
      </w:r>
      <w:r>
        <w:t>申报书打印下载的入口。</w:t>
      </w:r>
    </w:p>
    <w:p/>
    <w:p>
      <w:pPr>
        <w:jc w:val="center"/>
      </w:pPr>
      <w:r>
        <w:rPr>
          <w:rFonts w:hint="eastAsia"/>
        </w:rPr>
        <w:drawing>
          <wp:inline distT="0" distB="0" distL="114300" distR="114300">
            <wp:extent cx="5268595" cy="3382010"/>
            <wp:effectExtent l="0" t="0" r="8255" b="8890"/>
            <wp:docPr id="12" name="图片 12" descr="168681465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86814650831"/>
                    <pic:cNvPicPr>
                      <a:picLocks noChangeAspect="1"/>
                    </pic:cNvPicPr>
                  </pic:nvPicPr>
                  <pic:blipFill>
                    <a:blip r:embed="rId8"/>
                    <a:stretch>
                      <a:fillRect/>
                    </a:stretch>
                  </pic:blipFill>
                  <pic:spPr>
                    <a:xfrm>
                      <a:off x="0" y="0"/>
                      <a:ext cx="5268595" cy="3382010"/>
                    </a:xfrm>
                    <a:prstGeom prst="rect">
                      <a:avLst/>
                    </a:prstGeom>
                  </pic:spPr>
                </pic:pic>
              </a:graphicData>
            </a:graphic>
          </wp:inline>
        </w:drawing>
      </w:r>
    </w:p>
    <w:p/>
    <w:p>
      <w:pPr>
        <w:numPr>
          <w:ilvl w:val="0"/>
          <w:numId w:val="6"/>
        </w:numPr>
        <w:ind w:firstLine="420"/>
      </w:pPr>
      <w:r>
        <w:rPr>
          <w:rFonts w:hint="eastAsia"/>
        </w:rPr>
        <w:t>用户提交申报信息后，若收到被退回或驳回的短信，则可根据短信指引的内容步骤进入到“办事记录”，点击“业务详情”或“驳回详情”查看具体的信息。</w:t>
      </w:r>
    </w:p>
    <w:p/>
    <w:p>
      <w:r>
        <w:drawing>
          <wp:inline distT="0" distB="0" distL="114300" distR="114300">
            <wp:extent cx="5235575" cy="3613150"/>
            <wp:effectExtent l="0" t="0" r="3175" b="635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9"/>
                    <a:stretch>
                      <a:fillRect/>
                    </a:stretch>
                  </pic:blipFill>
                  <pic:spPr>
                    <a:xfrm>
                      <a:off x="0" y="0"/>
                      <a:ext cx="5235575" cy="3613150"/>
                    </a:xfrm>
                    <a:prstGeom prst="rect">
                      <a:avLst/>
                    </a:prstGeom>
                  </pic:spPr>
                </pic:pic>
              </a:graphicData>
            </a:graphic>
          </wp:inline>
        </w:drawing>
      </w:r>
    </w:p>
    <w:p/>
    <w:p>
      <w:r>
        <w:drawing>
          <wp:inline distT="0" distB="0" distL="114300" distR="114300">
            <wp:extent cx="5261610" cy="2449830"/>
            <wp:effectExtent l="0" t="0" r="15240" b="762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0"/>
                    <a:stretch>
                      <a:fillRect/>
                    </a:stretch>
                  </pic:blipFill>
                  <pic:spPr>
                    <a:xfrm>
                      <a:off x="0" y="0"/>
                      <a:ext cx="5261610" cy="2449830"/>
                    </a:xfrm>
                    <a:prstGeom prst="rect">
                      <a:avLst/>
                    </a:prstGeom>
                  </pic:spPr>
                </pic:pic>
              </a:graphicData>
            </a:graphic>
          </wp:inline>
        </w:drawing>
      </w:r>
    </w:p>
    <w:p/>
    <w:p/>
    <w:p>
      <w:pPr>
        <w:ind w:firstLine="420"/>
      </w:pPr>
      <w:r>
        <w:rPr>
          <w:rFonts w:hint="eastAsia"/>
        </w:rPr>
        <w:t>（4）若用户想要在此前提交的信息基础上修改后再申报，则可以点击“继续办理”，进入到申报信息填写界面，修改完后提交即可。</w:t>
      </w:r>
    </w:p>
    <w:p>
      <w:pPr>
        <w:ind w:left="420"/>
      </w:pPr>
    </w:p>
    <w:p>
      <w:r>
        <w:drawing>
          <wp:inline distT="0" distB="0" distL="114300" distR="114300">
            <wp:extent cx="5274945" cy="3264535"/>
            <wp:effectExtent l="0" t="0" r="1905" b="1206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1"/>
                    <a:stretch>
                      <a:fillRect/>
                    </a:stretch>
                  </pic:blipFill>
                  <pic:spPr>
                    <a:xfrm>
                      <a:off x="0" y="0"/>
                      <a:ext cx="5274945" cy="3264535"/>
                    </a:xfrm>
                    <a:prstGeom prst="rect">
                      <a:avLst/>
                    </a:prstGeom>
                  </pic:spPr>
                </pic:pic>
              </a:graphicData>
            </a:graphic>
          </wp:inline>
        </w:drawing>
      </w:r>
    </w:p>
    <w:p/>
    <w:p/>
    <w:p>
      <w:pPr>
        <w:ind w:firstLine="420"/>
      </w:pPr>
      <w:r>
        <w:rPr>
          <w:rFonts w:hint="eastAsia"/>
        </w:rPr>
        <w:t>（5）对于用户所申报业务预审通过的情况，需要下载并打印填报的申请书（右上角</w:t>
      </w:r>
      <w:r>
        <w:rPr>
          <w:rFonts w:hint="eastAsia"/>
          <w:highlight w:val="yellow"/>
        </w:rPr>
        <w:t>申报状态：已预审</w:t>
      </w:r>
      <w:r>
        <w:rPr>
          <w:rFonts w:hint="eastAsia"/>
          <w:highlight w:val="yellow"/>
          <w:lang w:eastAsia="zh-CN"/>
        </w:rPr>
        <w:t>，带水印</w:t>
      </w:r>
      <w:r>
        <w:rPr>
          <w:rFonts w:hint="eastAsia"/>
          <w:highlight w:val="yellow"/>
        </w:rPr>
        <w:t>）</w:t>
      </w:r>
      <w:r>
        <w:rPr>
          <w:rFonts w:hint="eastAsia"/>
        </w:rPr>
        <w:t>，根据上述操作步骤进入到“办事记录”后，在对应的事项记录中点击“业务详情”进入详情界面，在详情界面左上角点击“表单信息”，此时即可查看用户填报的申请书详情，再点击右上角的“打印”按钮即可进行下载。</w:t>
      </w:r>
    </w:p>
    <w:p>
      <w:pPr>
        <w:ind w:firstLine="420"/>
      </w:pPr>
    </w:p>
    <w:p>
      <w:r>
        <w:drawing>
          <wp:inline distT="0" distB="0" distL="114300" distR="114300">
            <wp:extent cx="5337175" cy="2546985"/>
            <wp:effectExtent l="0" t="0" r="15875" b="571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2"/>
                    <a:stretch>
                      <a:fillRect/>
                    </a:stretch>
                  </pic:blipFill>
                  <pic:spPr>
                    <a:xfrm>
                      <a:off x="0" y="0"/>
                      <a:ext cx="5337175" cy="2546985"/>
                    </a:xfrm>
                    <a:prstGeom prst="rect">
                      <a:avLst/>
                    </a:prstGeom>
                  </pic:spPr>
                </pic:pic>
              </a:graphicData>
            </a:graphic>
          </wp:inline>
        </w:drawing>
      </w:r>
    </w:p>
    <w:p/>
    <w:p>
      <w:pPr>
        <w:ind w:left="420"/>
        <w:rPr>
          <w:sz w:val="28"/>
          <w:szCs w:val="36"/>
        </w:rPr>
      </w:pPr>
    </w:p>
    <w:p>
      <w:pPr>
        <w:ind w:left="420"/>
        <w:rPr>
          <w:sz w:val="28"/>
          <w:szCs w:val="36"/>
        </w:rPr>
      </w:pPr>
    </w:p>
    <w:p>
      <w:pPr>
        <w:ind w:left="420"/>
        <w:rPr>
          <w:rFonts w:hint="eastAsia"/>
          <w:sz w:val="28"/>
          <w:szCs w:val="36"/>
        </w:rPr>
      </w:pPr>
    </w:p>
    <w:p>
      <w:pPr>
        <w:numPr>
          <w:ilvl w:val="0"/>
          <w:numId w:val="1"/>
        </w:numPr>
        <w:rPr>
          <w:sz w:val="28"/>
          <w:szCs w:val="36"/>
        </w:rPr>
      </w:pPr>
      <w:r>
        <w:rPr>
          <w:rFonts w:hint="eastAsia"/>
          <w:sz w:val="28"/>
          <w:szCs w:val="36"/>
        </w:rPr>
        <w:t>常见问题</w:t>
      </w:r>
    </w:p>
    <w:p>
      <w:pPr>
        <w:ind w:firstLine="420"/>
        <w:rPr>
          <w:b/>
          <w:bCs/>
        </w:rPr>
      </w:pPr>
      <w:r>
        <w:rPr>
          <w:rFonts w:hint="eastAsia"/>
          <w:b/>
          <w:bCs/>
        </w:rPr>
        <w:t>问题1：申报用户找不到已提交的事项记录</w:t>
      </w:r>
    </w:p>
    <w:p>
      <w:pPr>
        <w:ind w:firstLine="420"/>
      </w:pPr>
      <w:r>
        <w:rPr>
          <w:rFonts w:hint="eastAsia"/>
        </w:rPr>
        <w:t>回答：如步骤二、步骤三所示，</w:t>
      </w:r>
      <w:r>
        <w:t>登录广东政务服务网（https://www.gdzwfw.gov.cn/）</w:t>
      </w:r>
      <w:r>
        <w:rPr>
          <w:rFonts w:ascii="Arial" w:hAnsi="Arial" w:cs="Arial"/>
        </w:rPr>
        <w:t>→</w:t>
      </w:r>
      <w:r>
        <w:t>选择“深圳市”“市工业和信息化局”</w:t>
      </w:r>
      <w:r>
        <w:rPr>
          <w:rFonts w:ascii="Arial" w:hAnsi="Arial" w:cs="Arial"/>
        </w:rPr>
        <w:t>→</w:t>
      </w:r>
      <w:r>
        <w:t>“办事记录”</w:t>
      </w:r>
      <w:r>
        <w:rPr>
          <w:rFonts w:ascii="Arial" w:hAnsi="Arial" w:cs="Arial"/>
        </w:rPr>
        <w:t>→</w:t>
      </w:r>
      <w:r>
        <w:t>“深圳市企业专属网页”</w:t>
      </w:r>
      <w:r>
        <w:rPr>
          <w:rFonts w:hint="eastAsia"/>
        </w:rPr>
        <w:t>，</w:t>
      </w:r>
      <w:r>
        <w:t>在这里可以查看用户申报的记录，以及申报被退回的原因</w:t>
      </w:r>
      <w:r>
        <w:rPr>
          <w:rFonts w:hint="eastAsia"/>
        </w:rPr>
        <w:t>、</w:t>
      </w:r>
      <w:r>
        <w:t>申报书打印下载的入口</w:t>
      </w:r>
      <w:r>
        <w:rPr>
          <w:rFonts w:hint="eastAsia"/>
        </w:rPr>
        <w:t>。</w:t>
      </w:r>
    </w:p>
    <w:p>
      <w:pPr>
        <w:ind w:firstLine="420"/>
        <w:rPr>
          <w:rFonts w:hint="eastAsia"/>
          <w:b/>
          <w:color w:val="FF0000"/>
        </w:rPr>
      </w:pPr>
      <w:r>
        <w:rPr>
          <w:b/>
          <w:color w:val="FF0000"/>
        </w:rPr>
        <w:t>（</w:t>
      </w:r>
      <w:r>
        <w:rPr>
          <w:rFonts w:hint="eastAsia"/>
          <w:b/>
          <w:color w:val="FF0000"/>
        </w:rPr>
        <w:t>特别注意：请勿</w:t>
      </w:r>
      <w:r>
        <w:rPr>
          <w:b/>
          <w:color w:val="FF0000"/>
        </w:rPr>
        <w:t>高频查看信息，否则会导致项目被锁！！！）</w:t>
      </w:r>
    </w:p>
    <w:p>
      <w:pPr>
        <w:ind w:firstLine="420"/>
        <w:rPr>
          <w:b/>
          <w:bCs/>
        </w:rPr>
      </w:pPr>
      <w:r>
        <w:rPr>
          <w:rFonts w:hint="eastAsia"/>
          <w:b/>
          <w:bCs/>
        </w:rPr>
        <w:t>问题2：申报用户以个人身份登录导致无法申报</w:t>
      </w:r>
    </w:p>
    <w:p>
      <w:pPr>
        <w:ind w:firstLine="420"/>
      </w:pPr>
      <w:r>
        <w:rPr>
          <w:rFonts w:hint="eastAsia"/>
        </w:rPr>
        <w:t>回答：如步骤一在</w:t>
      </w:r>
      <w:r>
        <w:t>广东政务服务网（https://www.gdzwfw.gov.cn/）</w:t>
      </w:r>
      <w:r>
        <w:rPr>
          <w:rFonts w:hint="eastAsia"/>
        </w:rPr>
        <w:t>登录时要以法人身份登录方可申报，登陆方式有多种如下图所示：</w:t>
      </w:r>
    </w:p>
    <w:p>
      <w:r>
        <w:drawing>
          <wp:inline distT="0" distB="0" distL="114300" distR="114300">
            <wp:extent cx="5269230" cy="2534285"/>
            <wp:effectExtent l="0" t="0" r="7620" b="1841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3"/>
                    <a:stretch>
                      <a:fillRect/>
                    </a:stretch>
                  </pic:blipFill>
                  <pic:spPr>
                    <a:xfrm>
                      <a:off x="0" y="0"/>
                      <a:ext cx="5269230" cy="2534285"/>
                    </a:xfrm>
                    <a:prstGeom prst="rect">
                      <a:avLst/>
                    </a:prstGeom>
                    <a:noFill/>
                    <a:ln>
                      <a:noFill/>
                    </a:ln>
                  </pic:spPr>
                </pic:pic>
              </a:graphicData>
            </a:graphic>
          </wp:inline>
        </w:drawing>
      </w:r>
    </w:p>
    <w:p/>
    <w:p>
      <w:pPr>
        <w:ind w:firstLine="420"/>
        <w:rPr>
          <w:b/>
          <w:bCs/>
        </w:rPr>
      </w:pPr>
      <w:r>
        <w:rPr>
          <w:rFonts w:hint="eastAsia"/>
          <w:b/>
          <w:bCs/>
        </w:rPr>
        <w:t>问题3：申报用户找不到打印申请书的入口</w:t>
      </w:r>
    </w:p>
    <w:p>
      <w:pPr>
        <w:ind w:firstLine="420"/>
      </w:pPr>
      <w:r>
        <w:rPr>
          <w:rFonts w:hint="eastAsia"/>
        </w:rPr>
        <w:t>回答：如问题1，</w:t>
      </w:r>
      <w:r>
        <w:t>登录广东政务服务网（https://www.gdzwfw.gov.cn/）</w:t>
      </w:r>
      <w:r>
        <w:rPr>
          <w:rFonts w:ascii="Arial" w:hAnsi="Arial" w:cs="Arial"/>
        </w:rPr>
        <w:t>→</w:t>
      </w:r>
      <w:r>
        <w:rPr>
          <w:rFonts w:hint="eastAsia"/>
        </w:rPr>
        <w:tab/>
      </w:r>
      <w:r>
        <w:t>选择“深圳市”“市工业和信息化局”</w:t>
      </w:r>
      <w:r>
        <w:rPr>
          <w:rFonts w:ascii="Arial" w:hAnsi="Arial" w:cs="Arial"/>
        </w:rPr>
        <w:t>→</w:t>
      </w:r>
      <w:r>
        <w:t>“办事记录”</w:t>
      </w:r>
      <w:r>
        <w:rPr>
          <w:rFonts w:hint="eastAsia"/>
        </w:rPr>
        <w:t>，进入到</w:t>
      </w:r>
      <w:r>
        <w:t>“深圳市企业专属网页”</w:t>
      </w:r>
      <w:r>
        <w:rPr>
          <w:rFonts w:hint="eastAsia"/>
        </w:rPr>
        <w:t>，在</w:t>
      </w:r>
      <w:r>
        <w:t>“深圳市企业专属网页”</w:t>
      </w:r>
      <w:r>
        <w:rPr>
          <w:rFonts w:hint="eastAsia"/>
        </w:rPr>
        <w:t>点击“办事记录”后会显示当前用户所有事项记录，在对应的事项记录点击“业务详情”，选择“表单信息”，再点击右上角的“打印”，即可对下载所填报申请书。</w:t>
      </w:r>
    </w:p>
    <w:p>
      <w:pPr>
        <w:ind w:firstLine="420"/>
        <w:rPr>
          <w:b/>
          <w:bCs/>
        </w:rPr>
      </w:pPr>
      <w:r>
        <w:rPr>
          <w:rFonts w:hint="eastAsia"/>
          <w:b/>
          <w:bCs/>
        </w:rPr>
        <w:t>问题4：审核状态查看</w:t>
      </w:r>
    </w:p>
    <w:p>
      <w:pPr>
        <w:ind w:firstLine="420"/>
      </w:pPr>
      <w:r>
        <w:t>登录广东政务服务网（https://www.gdzwfw.gov.cn/）</w:t>
      </w:r>
      <w:r>
        <w:rPr>
          <w:rFonts w:ascii="Arial" w:hAnsi="Arial" w:cs="Arial"/>
        </w:rPr>
        <w:t>→</w:t>
      </w:r>
      <w:r>
        <w:rPr>
          <w:rFonts w:hint="eastAsia"/>
        </w:rPr>
        <w:tab/>
      </w:r>
      <w:r>
        <w:t>选择“深圳市”“市工业和信息化局”</w:t>
      </w:r>
      <w:r>
        <w:rPr>
          <w:rFonts w:ascii="Arial" w:hAnsi="Arial" w:cs="Arial"/>
        </w:rPr>
        <w:t>→</w:t>
      </w:r>
      <w:r>
        <w:t>“办事记录”</w:t>
      </w:r>
      <w:r>
        <w:rPr>
          <w:rFonts w:hint="eastAsia"/>
        </w:rPr>
        <w:t>，进入到</w:t>
      </w:r>
      <w:r>
        <w:t>“深圳市企业专属网页”</w:t>
      </w:r>
      <w:r>
        <w:rPr>
          <w:rFonts w:hint="eastAsia"/>
        </w:rPr>
        <w:t>，在</w:t>
      </w:r>
      <w:r>
        <w:t>“深圳市企业专属网页”</w:t>
      </w:r>
      <w:r>
        <w:rPr>
          <w:rFonts w:hint="eastAsia"/>
        </w:rPr>
        <w:t>点击“办事记录”后会显示当前用户所有事项记录，列表中的状态即为当前审核状态，可尝试点击列表中的绿色刷新按钮手工刷新。</w:t>
      </w:r>
    </w:p>
    <w:p>
      <w:pPr>
        <w:ind w:firstLine="420"/>
        <w:rPr>
          <w:b/>
          <w:bCs/>
        </w:rPr>
      </w:pPr>
    </w:p>
    <w:p>
      <w:pPr>
        <w:ind w:firstLine="420"/>
      </w:pPr>
      <w:r>
        <w:drawing>
          <wp:inline distT="0" distB="0" distL="114300" distR="114300">
            <wp:extent cx="5260975" cy="2994660"/>
            <wp:effectExtent l="0" t="0" r="15875" b="152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5260975" cy="2994660"/>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3000509000000000000"/>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224DDA"/>
    <w:multiLevelType w:val="singleLevel"/>
    <w:tmpl w:val="8E224DDA"/>
    <w:lvl w:ilvl="0" w:tentative="0">
      <w:start w:val="2"/>
      <w:numFmt w:val="decimal"/>
      <w:suff w:val="nothing"/>
      <w:lvlText w:val="%1、"/>
      <w:lvlJc w:val="left"/>
    </w:lvl>
  </w:abstractNum>
  <w:abstractNum w:abstractNumId="1">
    <w:nsid w:val="96367C75"/>
    <w:multiLevelType w:val="singleLevel"/>
    <w:tmpl w:val="96367C75"/>
    <w:lvl w:ilvl="0" w:tentative="0">
      <w:start w:val="2"/>
      <w:numFmt w:val="decimal"/>
      <w:suff w:val="nothing"/>
      <w:lvlText w:val="（%1）"/>
      <w:lvlJc w:val="left"/>
    </w:lvl>
  </w:abstractNum>
  <w:abstractNum w:abstractNumId="2">
    <w:nsid w:val="B47060AE"/>
    <w:multiLevelType w:val="singleLevel"/>
    <w:tmpl w:val="B47060AE"/>
    <w:lvl w:ilvl="0" w:tentative="0">
      <w:start w:val="1"/>
      <w:numFmt w:val="chineseCounting"/>
      <w:suff w:val="nothing"/>
      <w:lvlText w:val="%1、"/>
      <w:lvlJc w:val="left"/>
      <w:pPr>
        <w:ind w:left="0" w:firstLine="420"/>
      </w:pPr>
      <w:rPr>
        <w:rFonts w:hint="eastAsia"/>
        <w:sz w:val="28"/>
        <w:szCs w:val="28"/>
      </w:rPr>
    </w:lvl>
  </w:abstractNum>
  <w:abstractNum w:abstractNumId="3">
    <w:nsid w:val="CF4F0554"/>
    <w:multiLevelType w:val="singleLevel"/>
    <w:tmpl w:val="CF4F0554"/>
    <w:lvl w:ilvl="0" w:tentative="0">
      <w:start w:val="1"/>
      <w:numFmt w:val="decimal"/>
      <w:suff w:val="nothing"/>
      <w:lvlText w:val="（%1）"/>
      <w:lvlJc w:val="left"/>
    </w:lvl>
  </w:abstractNum>
  <w:abstractNum w:abstractNumId="4">
    <w:nsid w:val="50A1A0C9"/>
    <w:multiLevelType w:val="singleLevel"/>
    <w:tmpl w:val="50A1A0C9"/>
    <w:lvl w:ilvl="0" w:tentative="0">
      <w:start w:val="3"/>
      <w:numFmt w:val="decimal"/>
      <w:suff w:val="nothing"/>
      <w:lvlText w:val="（%1）"/>
      <w:lvlJc w:val="left"/>
    </w:lvl>
  </w:abstractNum>
  <w:abstractNum w:abstractNumId="5">
    <w:nsid w:val="54C17096"/>
    <w:multiLevelType w:val="singleLevel"/>
    <w:tmpl w:val="54C17096"/>
    <w:lvl w:ilvl="0" w:tentative="0">
      <w:start w:val="1"/>
      <w:numFmt w:val="decimal"/>
      <w:suff w:val="nothing"/>
      <w:lvlText w:val="%1、"/>
      <w:lvlJc w:val="left"/>
    </w:lvl>
  </w:abstractNum>
  <w:num w:numId="1">
    <w:abstractNumId w:val="2"/>
  </w:num>
  <w:num w:numId="2">
    <w:abstractNumId w:val="5"/>
  </w:num>
  <w:num w:numId="3">
    <w:abstractNumId w:val="3"/>
  </w:num>
  <w:num w:numId="4">
    <w:abstractNumId w:val="0"/>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A4ZTQxZWQyNTU4YjAyYzJjNzJkZTU1M2FiZmFmNTkifQ=="/>
  </w:docVars>
  <w:rsids>
    <w:rsidRoot w:val="00963776"/>
    <w:rsid w:val="00037A2C"/>
    <w:rsid w:val="007B1BA3"/>
    <w:rsid w:val="00963776"/>
    <w:rsid w:val="00C87E86"/>
    <w:rsid w:val="01205D5C"/>
    <w:rsid w:val="05B3073B"/>
    <w:rsid w:val="068C3FA7"/>
    <w:rsid w:val="081E5228"/>
    <w:rsid w:val="0BD94449"/>
    <w:rsid w:val="0EFB6AD2"/>
    <w:rsid w:val="12DA24BE"/>
    <w:rsid w:val="15703044"/>
    <w:rsid w:val="15BE1A91"/>
    <w:rsid w:val="1A221620"/>
    <w:rsid w:val="1B6A2CAA"/>
    <w:rsid w:val="2018790C"/>
    <w:rsid w:val="217D6B1B"/>
    <w:rsid w:val="22991C66"/>
    <w:rsid w:val="23E10F23"/>
    <w:rsid w:val="26D4231D"/>
    <w:rsid w:val="28A00BE5"/>
    <w:rsid w:val="29824F56"/>
    <w:rsid w:val="2AAF1A5A"/>
    <w:rsid w:val="2C2445D4"/>
    <w:rsid w:val="31F4336F"/>
    <w:rsid w:val="37C31D74"/>
    <w:rsid w:val="38012C35"/>
    <w:rsid w:val="385C0A66"/>
    <w:rsid w:val="441E11AD"/>
    <w:rsid w:val="46A71700"/>
    <w:rsid w:val="49C92FBB"/>
    <w:rsid w:val="4CF71542"/>
    <w:rsid w:val="4E9022A1"/>
    <w:rsid w:val="4F437CD1"/>
    <w:rsid w:val="54112004"/>
    <w:rsid w:val="55B57DB1"/>
    <w:rsid w:val="57987720"/>
    <w:rsid w:val="590D2C7D"/>
    <w:rsid w:val="5B5D652A"/>
    <w:rsid w:val="5CDF79EE"/>
    <w:rsid w:val="656A49A9"/>
    <w:rsid w:val="677E656C"/>
    <w:rsid w:val="69240DCF"/>
    <w:rsid w:val="69BD2EB5"/>
    <w:rsid w:val="6A5D2190"/>
    <w:rsid w:val="71994261"/>
    <w:rsid w:val="7424561B"/>
    <w:rsid w:val="75B619DA"/>
    <w:rsid w:val="76477DA7"/>
    <w:rsid w:val="79AB3FAC"/>
    <w:rsid w:val="79D90D95"/>
    <w:rsid w:val="7C0E227B"/>
    <w:rsid w:val="7C6A03D6"/>
    <w:rsid w:val="7D6C2781"/>
    <w:rsid w:val="FCFE00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character" w:default="1" w:styleId="6">
    <w:name w:val="Default Paragraph Font"/>
    <w:semiHidden/>
    <w:unhideWhenUsed/>
    <w:qFormat/>
    <w:uiPriority w:val="1"/>
  </w:style>
  <w:style w:type="table" w:default="1" w:styleId="5">
    <w:name w:val="Normal Table"/>
    <w:semiHidden/>
    <w:unhideWhenUsed/>
    <w:qFormat/>
    <w:uiPriority w:val="99"/>
    <w:tblPr>
      <w:tblLayout w:type="fixed"/>
      <w:tblCellMar>
        <w:top w:w="0" w:type="dxa"/>
        <w:left w:w="108" w:type="dxa"/>
        <w:bottom w:w="0" w:type="dxa"/>
        <w:right w:w="108" w:type="dxa"/>
      </w:tblCellMar>
    </w:tblPr>
  </w:style>
  <w:style w:type="paragraph" w:styleId="3">
    <w:name w:val="footer"/>
    <w:basedOn w:val="1"/>
    <w:link w:val="8"/>
    <w:qFormat/>
    <w:uiPriority w:val="0"/>
    <w:pPr>
      <w:tabs>
        <w:tab w:val="center" w:pos="4153"/>
        <w:tab w:val="right" w:pos="8306"/>
      </w:tabs>
      <w:snapToGrid w:val="0"/>
      <w:jc w:val="left"/>
    </w:pPr>
    <w:rPr>
      <w:sz w:val="18"/>
      <w:szCs w:val="18"/>
    </w:rPr>
  </w:style>
  <w:style w:type="paragraph" w:styleId="4">
    <w:name w:val="header"/>
    <w:basedOn w:val="1"/>
    <w:link w:val="7"/>
    <w:qFormat/>
    <w:uiPriority w:val="0"/>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qFormat/>
    <w:uiPriority w:val="0"/>
    <w:rPr>
      <w:kern w:val="2"/>
      <w:sz w:val="18"/>
      <w:szCs w:val="18"/>
    </w:rPr>
  </w:style>
  <w:style w:type="character" w:customStyle="1" w:styleId="8">
    <w:name w:val="页脚 Char"/>
    <w:basedOn w:val="6"/>
    <w:link w:val="3"/>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Win10_64</Company>
  <Pages>7</Pages>
  <Words>208</Words>
  <Characters>1191</Characters>
  <Lines>9</Lines>
  <Paragraphs>2</Paragraphs>
  <TotalTime>37</TotalTime>
  <ScaleCrop>false</ScaleCrop>
  <LinksUpToDate>false</LinksUpToDate>
  <CharactersWithSpaces>1397</CharactersWithSpaces>
  <Application>WPS Office_11.8.2.8361_F1E327BC-269C-435d-A152-05C5408002CA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2023-06-15T09:45:00Z</dcterms:created>
  <dc:creator>User</dc:creator>
  <cp:lastModifiedBy>芦娉婷（非）</cp:lastModifiedBy>
  <dcterms:modified xsi:type="dcterms:W3CDTF">2026-04-21T01:45:56Z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2052-11.8.2.8361</vt:lpwstr>
  </property>
  <property fmtid="{D5CDD505-2E9C-101B-9397-08002B2CF9AE}" pid="3" name="ICV">
    <vt:lpwstr>802B484C86D04F38BE48EAB33021F49D_13</vt:lpwstr>
  </property>
</Properties>
</file>